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4"/>
        <w:framePr w:wrap="around"/>
        <w:rPr>
          <w:rFonts w:hint="eastAsia" w:ascii="黑体" w:hAnsi="黑体" w:cs="黑体"/>
        </w:rPr>
      </w:pPr>
      <w:bookmarkStart w:id="0" w:name="_Toc144924044"/>
      <w:bookmarkStart w:id="1" w:name="BookMark1"/>
      <w:bookmarkStart w:id="2" w:name="_Toc110619444"/>
      <w:bookmarkStart w:id="3" w:name="_Toc110619277"/>
      <w:r>
        <w:rPr>
          <w:rFonts w:ascii="黑体" w:hAnsi="黑体" w:cs="黑体"/>
        </w:rPr>
        <w:t>ICS 13.040</w:t>
      </w:r>
    </w:p>
    <w:p>
      <w:pPr>
        <w:pStyle w:val="164"/>
        <w:framePr w:wrap="around"/>
        <w:rPr>
          <w:rFonts w:hint="eastAsia" w:ascii="黑体" w:hAnsi="黑体" w:cs="黑体"/>
        </w:rPr>
      </w:pPr>
      <w:r>
        <w:rPr>
          <w:rFonts w:ascii="黑体" w:hAnsi="黑体" w:cs="黑体"/>
        </w:rPr>
        <w:t>CCS Z 01</w:t>
      </w:r>
    </w:p>
    <w:tbl>
      <w:tblPr>
        <w:tblStyle w:val="33"/>
        <w:tblW w:w="93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5" w:type="dxa"/>
            <w:tcBorders>
              <w:top w:val="nil"/>
              <w:left w:val="nil"/>
              <w:bottom w:val="nil"/>
              <w:right w:val="nil"/>
            </w:tcBorders>
          </w:tcPr>
          <w:p>
            <w:pPr>
              <w:pStyle w:val="164"/>
              <w:framePr w:wrap="around"/>
            </w:pPr>
          </w:p>
        </w:tc>
      </w:tr>
    </w:tbl>
    <w:p>
      <w:pPr>
        <w:pStyle w:val="241"/>
        <w:framePr w:w="4682" w:h="1293" w:hRule="exact" w:wrap="around" w:x="6239" w:y="976"/>
        <w:rPr>
          <w:bCs/>
        </w:rPr>
      </w:pPr>
      <w:r>
        <w:rPr>
          <w:bCs/>
        </w:rPr>
        <w:t>DB4403</w:t>
      </w:r>
    </w:p>
    <w:p>
      <w:pPr>
        <w:framePr w:hSpace="181" w:vSpace="181" w:wrap="around" w:vAnchor="page" w:hAnchor="page" w:x="1419" w:y="2286" w:anchorLock="1"/>
        <w:widowControl/>
        <w:adjustRightInd/>
        <w:spacing w:line="0" w:lineRule="atLeast"/>
        <w:jc w:val="distribute"/>
        <w:rPr>
          <w:rFonts w:hint="eastAsia" w:ascii="黑体" w:hAnsi="宋体" w:eastAsia="黑体"/>
          <w:spacing w:val="-40"/>
          <w:kern w:val="0"/>
          <w:sz w:val="48"/>
          <w:szCs w:val="52"/>
        </w:rPr>
      </w:pPr>
      <w:r>
        <w:rPr>
          <w:rFonts w:ascii="黑体" w:hAnsi="宋体" w:eastAsia="黑体"/>
          <w:spacing w:val="-40"/>
          <w:kern w:val="0"/>
          <w:sz w:val="48"/>
          <w:szCs w:val="52"/>
        </w:rPr>
        <w:t>深圳市</w:t>
      </w:r>
      <w:r>
        <w:rPr>
          <w:rFonts w:hint="eastAsia" w:ascii="黑体" w:hAnsi="宋体" w:eastAsia="黑体"/>
          <w:spacing w:val="-40"/>
          <w:kern w:val="0"/>
          <w:sz w:val="48"/>
          <w:szCs w:val="52"/>
        </w:rPr>
        <w:t>地方标准</w:t>
      </w:r>
    </w:p>
    <w:p>
      <w:pPr>
        <w:spacing w:line="240" w:lineRule="auto"/>
        <w:rPr>
          <w:rFonts w:hint="eastAsia" w:ascii="黑体" w:hAnsi="黑体" w:eastAsia="黑体"/>
          <w:kern w:val="0"/>
          <w:sz w:val="10"/>
          <w:szCs w:val="10"/>
        </w:rPr>
      </w:pPr>
    </w:p>
    <w:p>
      <w:pPr>
        <w:framePr w:w="9639" w:h="6917" w:hRule="exact" w:wrap="around" w:vAnchor="page" w:hAnchor="page" w:x="1117" w:y="6337" w:anchorLock="1"/>
        <w:adjustRightInd/>
        <w:spacing w:line="240" w:lineRule="auto"/>
        <w:jc w:val="center"/>
        <w:textAlignment w:val="center"/>
        <w:rPr>
          <w:rFonts w:ascii="黑体" w:hAnsi="Times New Roman" w:eastAsia="黑体"/>
          <w:kern w:val="0"/>
          <w:sz w:val="52"/>
          <w:szCs w:val="20"/>
        </w:rPr>
      </w:pPr>
      <w:r>
        <w:rPr>
          <w:rFonts w:hint="eastAsia" w:ascii="黑体" w:hAnsi="Times New Roman" w:eastAsia="黑体"/>
          <w:kern w:val="0"/>
          <w:sz w:val="52"/>
          <w:szCs w:val="20"/>
        </w:rPr>
        <w:t>碳排</w:t>
      </w:r>
      <w:r>
        <w:rPr>
          <w:rFonts w:hint="eastAsia" w:ascii="宋体" w:hAnsi="宋体"/>
          <w:sz w:val="28"/>
          <w:szCs w:val="28"/>
        </w:rPr>
        <mc:AlternateContent>
          <mc:Choice Requires="wps">
            <w:drawing>
              <wp:anchor distT="0" distB="0" distL="114300" distR="114300" simplePos="0" relativeHeight="251672576" behindDoc="0" locked="1" layoutInCell="1" allowOverlap="1">
                <wp:simplePos x="0" y="0"/>
                <wp:positionH relativeFrom="page">
                  <wp:posOffset>885825</wp:posOffset>
                </wp:positionH>
                <wp:positionV relativeFrom="page">
                  <wp:posOffset>3008630</wp:posOffset>
                </wp:positionV>
                <wp:extent cx="6120130" cy="0"/>
                <wp:effectExtent l="0" t="0" r="0" b="0"/>
                <wp:wrapNone/>
                <wp:docPr id="1958391881" name="直接连接符 1958391881"/>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9.75pt;margin-top:236.9pt;height:0pt;width:481.9pt;mso-position-horizontal-relative:page;mso-position-vertical-relative:page;z-index:251672576;mso-width-relative:page;mso-height-relative:page;" filled="f" stroked="t" coordsize="21600,21600" o:gfxdata="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RnknNcAAAAMAQAADwAAAAAAAAABACAAAAAiAAAAZHJzL2Rvd25yZXYueG1sUEsBAhQAFAAAAAgA&#10;h07iQFry8YftAQAAvAMAAA4AAAAAAAAAAQAgAAAAJgEAAGRycy9lMm9Eb2MueG1sUEsFBgAAAAAG&#10;AAYAWQEAAIUFAAAAAA==&#10;">
                <v:fill on="f" focussize="0,0"/>
                <v:stroke color="#000000" joinstyle="round"/>
                <v:imagedata o:title=""/>
                <o:lock v:ext="edit" aspectratio="f"/>
                <w10:anchorlock/>
              </v:line>
            </w:pict>
          </mc:Fallback>
        </mc:AlternateContent>
      </w: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899160</wp:posOffset>
                </wp:positionH>
                <wp:positionV relativeFrom="page">
                  <wp:posOffset>9328785</wp:posOffset>
                </wp:positionV>
                <wp:extent cx="6120130" cy="0"/>
                <wp:effectExtent l="0" t="0" r="0" b="0"/>
                <wp:wrapNone/>
                <wp:docPr id="1215810103" name="直接连接符 1215810103"/>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pt;margin-top:734.55pt;height:0pt;width:481.9pt;mso-position-horizontal-relative:page;mso-position-vertical-relative:page;z-index:251660288;mso-width-relative:page;mso-height-relative:page;" filled="f" stroked="t" coordsize="21600,21600" o:gfxdata="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H&#10;wSvJ1wAAAA4BAAAPAAAAAAAAAAEAIAAAACIAAABkcnMvZG93bnJldi54bWxQSwECFAAUAAAACACH&#10;TuJA1YXBWewBAAC8AwAADgAAAAAAAAABACAAAAAmAQAAZHJzL2Uyb0RvYy54bWxQSwUGAAAAAAYA&#10;BgBZAQAAhAUAAAAA&#10;">
                <v:fill on="f" focussize="0,0"/>
                <v:stroke color="#000000" joinstyle="round"/>
                <v:imagedata o:title=""/>
                <o:lock v:ext="edit" aspectratio="f"/>
                <w10:anchorlock/>
              </v:line>
            </w:pict>
          </mc:Fallback>
        </mc:AlternateContent>
      </w:r>
      <w:r>
        <w:rPr>
          <w:rFonts w:hint="eastAsia" w:ascii="黑体" w:hAnsi="Times New Roman" w:eastAsia="黑体"/>
          <w:kern w:val="0"/>
          <w:sz w:val="52"/>
          <w:szCs w:val="20"/>
        </w:rPr>
        <w:t>放管理体系建设与评价指南</w:t>
      </w:r>
    </w:p>
    <w:tbl>
      <w:tblPr>
        <w:tblStyle w:val="33"/>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39" w:type="dxa"/>
            <w:tcBorders>
              <w:top w:val="nil"/>
              <w:left w:val="nil"/>
              <w:bottom w:val="nil"/>
              <w:right w:val="nil"/>
            </w:tcBorders>
          </w:tcPr>
          <w:p>
            <w:pPr>
              <w:framePr w:w="9639" w:h="6917" w:hRule="exact" w:wrap="around" w:vAnchor="page" w:hAnchor="page" w:x="1117" w:y="6337" w:anchorLock="1"/>
              <w:adjustRightInd/>
              <w:spacing w:before="440" w:after="160" w:line="240" w:lineRule="auto"/>
              <w:jc w:val="center"/>
              <w:textAlignment w:val="center"/>
              <w:rPr>
                <w:rFonts w:hint="eastAsia" w:ascii="黑体" w:hAnsi="黑体" w:eastAsia="黑体"/>
                <w:kern w:val="0"/>
                <w:sz w:val="28"/>
                <w:szCs w:val="28"/>
              </w:rPr>
            </w:pPr>
            <w:r>
              <w:rPr>
                <w:rFonts w:ascii="黑体" w:hAnsi="黑体" w:eastAsia="黑体"/>
                <w:kern w:val="0"/>
                <w:sz w:val="28"/>
                <w:szCs w:val="28"/>
              </w:rPr>
              <w:t xml:space="preserve">Guideline for </w:t>
            </w:r>
            <w:r>
              <w:rPr>
                <w:rFonts w:hint="eastAsia" w:ascii="黑体" w:hAnsi="黑体" w:eastAsia="黑体"/>
                <w:kern w:val="0"/>
                <w:sz w:val="28"/>
                <w:szCs w:val="28"/>
              </w:rPr>
              <w:t>Construction and evaluation on carbon emission management system</w:t>
            </w:r>
          </w:p>
          <w:p>
            <w:pPr>
              <w:framePr w:w="9639" w:h="6917" w:hRule="exact" w:wrap="around" w:vAnchor="page" w:hAnchor="page" w:x="1117" w:y="6337" w:anchorLock="1"/>
              <w:adjustRightInd/>
              <w:spacing w:before="440" w:after="160" w:line="240" w:lineRule="auto"/>
              <w:jc w:val="center"/>
              <w:textAlignment w:val="center"/>
              <w:rPr>
                <w:rFonts w:ascii="宋体" w:hAnsi="Times New Roman"/>
                <w:kern w:val="0"/>
                <w:sz w:val="24"/>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39" w:type="dxa"/>
            <w:tcBorders>
              <w:top w:val="nil"/>
              <w:left w:val="nil"/>
              <w:bottom w:val="nil"/>
              <w:right w:val="nil"/>
            </w:tcBorders>
          </w:tcPr>
          <w:p>
            <w:pPr>
              <w:framePr w:w="9639" w:h="6917" w:hRule="exact" w:wrap="around" w:vAnchor="page" w:hAnchor="page" w:x="1117" w:y="6337" w:anchorLock="1"/>
              <w:adjustRightInd/>
              <w:spacing w:before="180" w:after="160" w:line="180" w:lineRule="exact"/>
              <w:jc w:val="center"/>
              <w:textAlignment w:val="center"/>
              <w:rPr>
                <w:rFonts w:ascii="宋体" w:hAnsi="Times New Roman"/>
                <w:kern w:val="0"/>
                <w:szCs w:val="28"/>
              </w:rPr>
            </w:pPr>
            <w:r>
              <w:rPr>
                <w:rFonts w:ascii="宋体" w:hAnsi="Times New Roman"/>
                <w:kern w:val="0"/>
                <w:szCs w:val="28"/>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308610</wp:posOffset>
                      </wp:positionV>
                      <wp:extent cx="1905000" cy="254000"/>
                      <wp:effectExtent l="0" t="0" r="0" b="12700"/>
                      <wp:wrapNone/>
                      <wp:docPr id="9" name="RQ"/>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Q" o:spid="_x0000_s1026" o:spt="1" style="position:absolute;left:0pt;margin-left:173.3pt;margin-top:24.3pt;height:20pt;width:150pt;z-index:-251657216;mso-width-relative:page;mso-height-relative:page;" fillcolor="#FFFFFF" filled="t" stroked="f" coordsize="21600,21600" o:gfxdata="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l3bXvVAAAACQEAAA8AAAAAAAAAAQAgAAAAIgAAAGRy&#10;cy9kb3ducmV2LnhtbFBLAQIUABQAAAAIAIdO4kBtG4+4CAIAACAEAAAOAAAAAAAAAAEAIAAAACQB&#10;AABkcnMvZTJvRG9jLnhtbFBLBQYAAAAABgAGAFkBAACeBQAAAAA=&#10;">
                      <v:fill on="t" focussize="0,0"/>
                      <v:stroke on="f"/>
                      <v:imagedata o:title=""/>
                      <o:lock v:ext="edit" aspectratio="f"/>
                      <w10:anchorlock/>
                    </v:rect>
                  </w:pict>
                </mc:Fallback>
              </mc:AlternateContent>
            </w:r>
          </w:p>
        </w:tc>
      </w:tr>
    </w:tbl>
    <w:p>
      <w:pPr>
        <w:pStyle w:val="201"/>
        <w:framePr w:wrap="around" w:y="14176"/>
      </w:pPr>
      <w:r>
        <w:rPr>
          <w:rFonts w:ascii="黑体"/>
        </w:rPr>
        <w:fldChar w:fldCharType="begin">
          <w:ffData>
            <w:name w:val="PLSH_DATE_Y"/>
            <w:enabled/>
            <w:calcOnExit w:val="0"/>
            <w:textInput>
              <w:default w:val="XXXX"/>
              <w:maxLength w:val="4"/>
            </w:textInput>
          </w:ffData>
        </w:fldChar>
      </w:r>
      <w:bookmarkStart w:id="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4"/>
      <w:r>
        <w:rPr>
          <w:rFonts w:ascii="黑体"/>
        </w:rPr>
        <w:t>-</w:t>
      </w:r>
      <w:r>
        <w:rPr>
          <w:rFonts w:ascii="黑体"/>
        </w:rPr>
        <w:fldChar w:fldCharType="begin">
          <w:ffData>
            <w:name w:val="PLSH_DATE_M"/>
            <w:enabled/>
            <w:calcOnExit w:val="0"/>
            <w:textInput>
              <w:default w:val="XX"/>
              <w:maxLength w:val="2"/>
            </w:textInput>
          </w:ffData>
        </w:fldChar>
      </w:r>
      <w:bookmarkStart w:id="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5"/>
      <w:r>
        <w:rPr>
          <w:rFonts w:ascii="黑体"/>
        </w:rPr>
        <w:t>-</w:t>
      </w:r>
      <w:r>
        <w:rPr>
          <w:rFonts w:ascii="黑体"/>
        </w:rPr>
        <w:fldChar w:fldCharType="begin">
          <w:ffData>
            <w:name w:val="PLSH_DATE_D"/>
            <w:enabled/>
            <w:calcOnExit w:val="0"/>
            <w:textInput>
              <w:default w:val="XX"/>
              <w:maxLength w:val="2"/>
            </w:textInput>
          </w:ffData>
        </w:fldChar>
      </w:r>
      <w:bookmarkStart w:id="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6"/>
      <w:r>
        <w:rPr>
          <w:rFonts w:hint="eastAsia"/>
        </w:rPr>
        <w:t>发布</w:t>
      </w:r>
    </w:p>
    <w:p>
      <w:pPr>
        <w:pStyle w:val="202"/>
        <w:framePr w:wrap="around" w:y="14176"/>
      </w:pPr>
      <w:r>
        <w:rPr>
          <w:rFonts w:ascii="黑体"/>
        </w:rPr>
        <w:fldChar w:fldCharType="begin">
          <w:ffData>
            <w:name w:val="CROT_DATE_Y"/>
            <w:enabled/>
            <w:calcOnExit w:val="0"/>
            <w:textInput>
              <w:default w:val="XXXX"/>
              <w:maxLength w:val="4"/>
            </w:textInput>
          </w:ffData>
        </w:fldChar>
      </w:r>
      <w:bookmarkStart w:id="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7"/>
      <w:r>
        <w:rPr>
          <w:rFonts w:ascii="黑体"/>
        </w:rPr>
        <w:t>-</w:t>
      </w:r>
      <w:r>
        <w:rPr>
          <w:rFonts w:ascii="黑体"/>
        </w:rPr>
        <w:fldChar w:fldCharType="begin">
          <w:ffData>
            <w:name w:val="CROT_DATE_M"/>
            <w:enabled/>
            <w:calcOnExit w:val="0"/>
            <w:textInput>
              <w:default w:val="XX"/>
              <w:maxLength w:val="2"/>
            </w:textInput>
          </w:ffData>
        </w:fldChar>
      </w:r>
      <w:bookmarkStart w:id="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8"/>
      <w:r>
        <w:rPr>
          <w:rFonts w:ascii="黑体"/>
        </w:rPr>
        <w:t>-</w:t>
      </w:r>
      <w:r>
        <w:rPr>
          <w:rFonts w:ascii="黑体"/>
        </w:rPr>
        <w:fldChar w:fldCharType="begin">
          <w:ffData>
            <w:name w:val="CROT_DATE_D"/>
            <w:enabled/>
            <w:calcOnExit w:val="0"/>
            <w:textInput>
              <w:default w:val="XX"/>
              <w:maxLength w:val="2"/>
            </w:textInput>
          </w:ffData>
        </w:fldChar>
      </w:r>
      <w:bookmarkStart w:id="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rPr>
          <w:rFonts w:hint="eastAsia"/>
        </w:rPr>
        <w:t>实施</w:t>
      </w:r>
    </w:p>
    <w:p>
      <w:pPr>
        <w:framePr w:w="7938" w:h="781" w:hRule="exact" w:hSpace="125" w:vSpace="181" w:wrap="around" w:vAnchor="page" w:hAnchor="page" w:x="2156" w:y="15046" w:anchorLock="1"/>
        <w:widowControl/>
        <w:tabs>
          <w:tab w:val="left" w:pos="840"/>
        </w:tabs>
        <w:adjustRightInd/>
        <w:spacing w:line="0" w:lineRule="atLeast"/>
        <w:ind w:left="839" w:firstLine="418" w:firstLineChars="100"/>
        <w:rPr>
          <w:rFonts w:ascii="黑体" w:hAnsi="Times New Roman" w:eastAsia="黑体"/>
          <w:spacing w:val="20"/>
          <w:w w:val="135"/>
          <w:kern w:val="0"/>
          <w:sz w:val="28"/>
          <w:szCs w:val="20"/>
        </w:rPr>
      </w:pPr>
      <w:r>
        <w:rPr>
          <w:rFonts w:hint="eastAsia" w:ascii="黑体" w:hAnsi="Times New Roman" w:eastAsia="黑体"/>
          <w:spacing w:val="20"/>
          <w:w w:val="135"/>
          <w:kern w:val="0"/>
          <w:sz w:val="28"/>
          <w:szCs w:val="20"/>
        </w:rPr>
        <w:t>深圳市市场监督管理局</w:t>
      </w:r>
      <w:r>
        <w:rPr>
          <w:rFonts w:ascii="黑体" w:hAnsi="黑体" w:eastAsia="黑体"/>
          <w:spacing w:val="20"/>
          <w:w w:val="135"/>
          <w:kern w:val="0"/>
          <w:sz w:val="28"/>
          <w:szCs w:val="20"/>
        </w:rPr>
        <w:t>   </w:t>
      </w:r>
      <w:r>
        <w:rPr>
          <w:rFonts w:hint="eastAsia" w:ascii="黑体" w:hAnsi="Times New Roman" w:eastAsia="黑体"/>
          <w:spacing w:val="85"/>
          <w:kern w:val="0"/>
          <w:position w:val="3"/>
          <w:sz w:val="28"/>
          <w:szCs w:val="28"/>
        </w:rPr>
        <w:t>发布</w:t>
      </w:r>
    </w:p>
    <w:p>
      <w:pPr>
        <w:pStyle w:val="99"/>
        <w:spacing w:after="468"/>
        <w:rPr>
          <w:b/>
          <w:bCs/>
        </w:rPr>
      </w:pPr>
      <w:bookmarkStart w:id="595" w:name="_GoBack"/>
      <w:bookmarkEnd w:id="595"/>
    </w:p>
    <w:p>
      <w:pPr>
        <w:pStyle w:val="99"/>
        <w:spacing w:after="468"/>
        <w:rPr>
          <w:b/>
          <w:bCs/>
        </w:rPr>
      </w:pPr>
    </w:p>
    <w:p>
      <w:pPr>
        <w:spacing w:line="340" w:lineRule="exact"/>
        <w:jc w:val="left"/>
        <w:sectPr>
          <w:footerReference r:id="rId9" w:type="first"/>
          <w:headerReference r:id="rId5" w:type="default"/>
          <w:footerReference r:id="rId7" w:type="default"/>
          <w:headerReference r:id="rId6" w:type="even"/>
          <w:footerReference r:id="rId8" w:type="even"/>
          <w:type w:val="oddPage"/>
          <w:pgSz w:w="11905" w:h="16838"/>
          <w:pgMar w:top="-340" w:right="1134" w:bottom="1020" w:left="1134" w:header="1417" w:footer="1134" w:gutter="283"/>
          <w:pgNumType w:fmt="upperRoman" w:start="1"/>
          <w:cols w:space="0" w:num="1"/>
          <w:formProt w:val="0"/>
          <w:docGrid w:type="lines" w:linePitch="312" w:charSpace="0"/>
        </w:sectPr>
      </w:pPr>
    </w:p>
    <w:p>
      <w:pPr>
        <w:pStyle w:val="99"/>
        <w:spacing w:after="468"/>
      </w:pPr>
      <w:r>
        <w:rPr>
          <w:rFonts w:hint="eastAsia"/>
        </w:rPr>
        <w:t xml:space="preserve">目 </w:t>
      </w:r>
      <w:r>
        <w:t xml:space="preserve">  </w:t>
      </w:r>
      <w:r>
        <w:rPr>
          <w:rFonts w:hint="eastAsia"/>
        </w:rPr>
        <w:t>次</w:t>
      </w:r>
    </w:p>
    <w:p>
      <w:pPr>
        <w:pStyle w:val="24"/>
        <w:spacing w:line="240" w:lineRule="auto"/>
        <w:rPr>
          <w:rFonts w:hint="eastAsia" w:asciiTheme="minorHAnsi" w:hAnsiTheme="minorHAnsi" w:eastAsiaTheme="minorEastAsia" w:cstheme="minorBidi"/>
          <w14:ligatures w14:val="standardContextual"/>
        </w:rPr>
      </w:pPr>
      <w:r>
        <w:fldChar w:fldCharType="begin"/>
      </w:r>
      <w:r>
        <w:instrText xml:space="preserve"> TOC \o "1-1" \h \t "标准文件_一级条标题,2,标准文件_二级条标题,3,标准文件_附录一级条标题,2,标准文件_附录二级条标题,3," </w:instrText>
      </w:r>
      <w:r>
        <w:fldChar w:fldCharType="separate"/>
      </w:r>
      <w:r>
        <w:fldChar w:fldCharType="begin"/>
      </w:r>
      <w:r>
        <w:instrText xml:space="preserve"> HYPERLINK \l "_Toc153186128" </w:instrText>
      </w:r>
      <w:r>
        <w:fldChar w:fldCharType="separate"/>
      </w:r>
      <w:r>
        <w:rPr>
          <w:rStyle w:val="39"/>
          <w:spacing w:val="320"/>
        </w:rPr>
        <w:t>前</w:t>
      </w:r>
      <w:r>
        <w:rPr>
          <w:rStyle w:val="39"/>
        </w:rPr>
        <w:t>言</w:t>
      </w:r>
      <w:r>
        <w:tab/>
      </w:r>
      <w:r>
        <w:fldChar w:fldCharType="begin"/>
      </w:r>
      <w:r>
        <w:instrText xml:space="preserve"> PAGEREF _Toc153186128 \h </w:instrText>
      </w:r>
      <w:r>
        <w:fldChar w:fldCharType="separate"/>
      </w:r>
      <w:r>
        <w:t>III</w:t>
      </w:r>
      <w:r>
        <w:fldChar w:fldCharType="end"/>
      </w:r>
      <w:r>
        <w:fldChar w:fldCharType="end"/>
      </w:r>
    </w:p>
    <w:p>
      <w:pPr>
        <w:pStyle w:val="24"/>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"_Toc153186129" </w:instrText>
      </w:r>
      <w:r>
        <w:fldChar w:fldCharType="separate"/>
      </w:r>
      <w:r>
        <w:rPr>
          <w:rStyle w:val="39"/>
          <w:spacing w:val="320"/>
        </w:rPr>
        <w:t>引</w:t>
      </w:r>
      <w:r>
        <w:rPr>
          <w:rStyle w:val="39"/>
        </w:rPr>
        <w:t>言</w:t>
      </w:r>
      <w:r>
        <w:tab/>
      </w:r>
      <w:r>
        <w:fldChar w:fldCharType="begin"/>
      </w:r>
      <w:r>
        <w:instrText xml:space="preserve"> PAGEREF _Toc153186129 \h </w:instrText>
      </w:r>
      <w:r>
        <w:fldChar w:fldCharType="separate"/>
      </w:r>
      <w:r>
        <w:t>IV</w:t>
      </w:r>
      <w:r>
        <w:fldChar w:fldCharType="end"/>
      </w:r>
      <w:r>
        <w:fldChar w:fldCharType="end"/>
      </w:r>
    </w:p>
    <w:p>
      <w:pPr>
        <w:pStyle w:val="24"/>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"_Toc153186133" </w:instrText>
      </w:r>
      <w:r>
        <w:fldChar w:fldCharType="separate"/>
      </w:r>
      <w:r>
        <w:rPr>
          <w:rStyle w:val="39"/>
        </w:rPr>
        <w:t>1 范围</w:t>
      </w:r>
      <w:r>
        <w:tab/>
      </w:r>
      <w:r>
        <w:fldChar w:fldCharType="begin"/>
      </w:r>
      <w:r>
        <w:instrText xml:space="preserve"> PAGEREF _Toc153186133 \h </w:instrText>
      </w:r>
      <w:r>
        <w:fldChar w:fldCharType="separate"/>
      </w:r>
      <w:r>
        <w:t>1</w:t>
      </w:r>
      <w:r>
        <w:fldChar w:fldCharType="end"/>
      </w:r>
      <w:r>
        <w:fldChar w:fldCharType="end"/>
      </w:r>
    </w:p>
    <w:p>
      <w:pPr>
        <w:pStyle w:val="24"/>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"_Toc153186134" </w:instrText>
      </w:r>
      <w:r>
        <w:fldChar w:fldCharType="separate"/>
      </w:r>
      <w:r>
        <w:rPr>
          <w:rStyle w:val="39"/>
        </w:rPr>
        <w:t>2 规范性引用文件</w:t>
      </w:r>
      <w:r>
        <w:tab/>
      </w:r>
      <w:r>
        <w:fldChar w:fldCharType="begin"/>
      </w:r>
      <w:r>
        <w:instrText xml:space="preserve"> PAGEREF _Toc153186134 \h </w:instrText>
      </w:r>
      <w:r>
        <w:fldChar w:fldCharType="separate"/>
      </w:r>
      <w:r>
        <w:t>1</w:t>
      </w:r>
      <w:r>
        <w:fldChar w:fldCharType="end"/>
      </w:r>
      <w:r>
        <w:fldChar w:fldCharType="end"/>
      </w:r>
    </w:p>
    <w:p>
      <w:pPr>
        <w:pStyle w:val="24"/>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"_Toc153186135" </w:instrText>
      </w:r>
      <w:r>
        <w:fldChar w:fldCharType="separate"/>
      </w:r>
      <w:r>
        <w:rPr>
          <w:rStyle w:val="39"/>
        </w:rPr>
        <w:t>3 术语及定义</w:t>
      </w:r>
      <w:r>
        <w:tab/>
      </w:r>
      <w:r>
        <w:fldChar w:fldCharType="begin"/>
      </w:r>
      <w:r>
        <w:instrText xml:space="preserve"> PAGEREF _Toc153186135 \h </w:instrText>
      </w:r>
      <w:r>
        <w:fldChar w:fldCharType="separate"/>
      </w:r>
      <w:r>
        <w:t>1</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"_Toc153186136" </w:instrText>
      </w:r>
      <w:r>
        <w:fldChar w:fldCharType="separate"/>
      </w:r>
      <w:r>
        <w:rPr>
          <w:rStyle w:val="39"/>
          <w:rFonts w:hAnsi="黑体"/>
          <w14:scene3d w14:prst="orthographicFront">
            <w14:lightRig w14:rig="threePt" w14:dir="t">
              <w14:rot w14:lat="0" w14:lon="0" w14:rev="0"/>
            </w14:lightRig>
          </w14:scene3d>
        </w:rPr>
        <w:t>3.1</w:t>
      </w:r>
      <w:r>
        <w:rPr>
          <w:rStyle w:val="39"/>
        </w:rPr>
        <w:t xml:space="preserve"> 与体系建设和管理有关的术语</w:t>
      </w:r>
      <w:r>
        <w:tab/>
      </w:r>
      <w:r>
        <w:fldChar w:fldCharType="begin"/>
      </w:r>
      <w:r>
        <w:instrText xml:space="preserve"> PAGEREF _Toc153186136 \h </w:instrText>
      </w:r>
      <w:r>
        <w:fldChar w:fldCharType="separate"/>
      </w:r>
      <w:r>
        <w:t>1</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"_Toc153186146" </w:instrText>
      </w:r>
      <w:r>
        <w:fldChar w:fldCharType="separate"/>
      </w:r>
      <w:r>
        <w:rPr>
          <w:rStyle w:val="39"/>
          <w:rFonts w:hAnsi="黑体"/>
          <w14:scene3d w14:prst="orthographicFront">
            <w14:lightRig w14:rig="threePt" w14:dir="t">
              <w14:rot w14:lat="0" w14:lon="0" w14:rev="0"/>
            </w14:lightRig>
          </w14:scene3d>
        </w:rPr>
        <w:t>3.2</w:t>
      </w:r>
      <w:r>
        <w:rPr>
          <w:rStyle w:val="39"/>
        </w:rPr>
        <w:t xml:space="preserve"> 与绩效评价有关的术语</w:t>
      </w:r>
      <w:r>
        <w:tab/>
      </w:r>
      <w:r>
        <w:fldChar w:fldCharType="begin"/>
      </w:r>
      <w:r>
        <w:instrText xml:space="preserve"> PAGEREF _Toc153186146 \h </w:instrText>
      </w:r>
      <w:r>
        <w:fldChar w:fldCharType="separate"/>
      </w:r>
      <w:r>
        <w:t>2</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"_Toc153186151" </w:instrText>
      </w:r>
      <w:r>
        <w:fldChar w:fldCharType="separate"/>
      </w:r>
      <w:r>
        <w:rPr>
          <w:rStyle w:val="39"/>
          <w:rFonts w:hAnsi="黑体"/>
          <w14:scene3d w14:prst="orthographicFront">
            <w14:lightRig w14:rig="threePt" w14:dir="t">
              <w14:rot w14:lat="0" w14:lon="0" w14:rev="0"/>
            </w14:lightRig>
          </w14:scene3d>
        </w:rPr>
        <w:t>3.3</w:t>
      </w:r>
      <w:r>
        <w:rPr>
          <w:rStyle w:val="39"/>
        </w:rPr>
        <w:t xml:space="preserve"> 与碳排放有关的术语</w:t>
      </w:r>
      <w:r>
        <w:tab/>
      </w:r>
      <w:r>
        <w:fldChar w:fldCharType="begin"/>
      </w:r>
      <w:r>
        <w:instrText xml:space="preserve"> PAGEREF _Toc153186151 \h </w:instrText>
      </w:r>
      <w:r>
        <w:fldChar w:fldCharType="separate"/>
      </w:r>
      <w:r>
        <w:t>2</w:t>
      </w:r>
      <w:r>
        <w:fldChar w:fldCharType="end"/>
      </w:r>
      <w:r>
        <w:fldChar w:fldCharType="end"/>
      </w:r>
    </w:p>
    <w:p>
      <w:pPr>
        <w:pStyle w:val="24"/>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"_Toc153186158" </w:instrText>
      </w:r>
      <w:r>
        <w:fldChar w:fldCharType="separate"/>
      </w:r>
      <w:r>
        <w:rPr>
          <w:rStyle w:val="39"/>
        </w:rPr>
        <w:t>4 组织所处的环境</w:t>
      </w:r>
      <w:r>
        <w:tab/>
      </w:r>
      <w:r>
        <w:fldChar w:fldCharType="begin"/>
      </w:r>
      <w:r>
        <w:instrText xml:space="preserve"> PAGEREF _Toc153186158 \h </w:instrText>
      </w:r>
      <w:r>
        <w:fldChar w:fldCharType="separate"/>
      </w:r>
      <w:r>
        <w:t>4</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"_Toc153186159" </w:instrText>
      </w:r>
      <w:r>
        <w:fldChar w:fldCharType="separate"/>
      </w:r>
      <w:r>
        <w:rPr>
          <w:rStyle w:val="39"/>
          <w:rFonts w:hAnsi="黑体"/>
          <w14:scene3d w14:prst="orthographicFront">
            <w14:lightRig w14:rig="threePt" w14:dir="t">
              <w14:rot w14:lat="0" w14:lon="0" w14:rev="0"/>
            </w14:lightRig>
          </w14:scene3d>
        </w:rPr>
        <w:t>4.1</w:t>
      </w:r>
      <w:r>
        <w:rPr>
          <w:rStyle w:val="39"/>
        </w:rPr>
        <w:t xml:space="preserve"> 理解组织及其所处的环境</w:t>
      </w:r>
      <w:r>
        <w:tab/>
      </w:r>
      <w:r>
        <w:fldChar w:fldCharType="begin"/>
      </w:r>
      <w:r>
        <w:instrText xml:space="preserve"> PAGEREF _Toc153186159 \h </w:instrText>
      </w:r>
      <w:r>
        <w:fldChar w:fldCharType="separate"/>
      </w:r>
      <w:r>
        <w:t>4</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"_Toc153186160" </w:instrText>
      </w:r>
      <w:r>
        <w:fldChar w:fldCharType="separate"/>
      </w:r>
      <w:r>
        <w:rPr>
          <w:rStyle w:val="39"/>
          <w:rFonts w:hAnsi="黑体"/>
          <w14:scene3d w14:prst="orthographicFront">
            <w14:lightRig w14:rig="threePt" w14:dir="t">
              <w14:rot w14:lat="0" w14:lon="0" w14:rev="0"/>
            </w14:lightRig>
          </w14:scene3d>
        </w:rPr>
        <w:t>4.2</w:t>
      </w:r>
      <w:r>
        <w:rPr>
          <w:rStyle w:val="39"/>
        </w:rPr>
        <w:t xml:space="preserve"> 理解相关方的需求和期望</w:t>
      </w:r>
      <w:r>
        <w:tab/>
      </w:r>
      <w:r>
        <w:fldChar w:fldCharType="begin"/>
      </w:r>
      <w:r>
        <w:instrText xml:space="preserve"> PAGEREF _Toc153186160 \h </w:instrText>
      </w:r>
      <w:r>
        <w:fldChar w:fldCharType="separate"/>
      </w:r>
      <w:r>
        <w:t>4</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"_Toc153186161" </w:instrText>
      </w:r>
      <w:r>
        <w:fldChar w:fldCharType="separate"/>
      </w:r>
      <w:r>
        <w:rPr>
          <w:rStyle w:val="39"/>
          <w:rFonts w:hAnsi="黑体"/>
          <w14:scene3d w14:prst="orthographicFront">
            <w14:lightRig w14:rig="threePt" w14:dir="t">
              <w14:rot w14:lat="0" w14:lon="0" w14:rev="0"/>
            </w14:lightRig>
          </w14:scene3d>
        </w:rPr>
        <w:t>4.3</w:t>
      </w:r>
      <w:r>
        <w:rPr>
          <w:rStyle w:val="39"/>
        </w:rPr>
        <w:t xml:space="preserve"> 确定碳排放管理体系的范围</w:t>
      </w:r>
      <w:r>
        <w:tab/>
      </w:r>
      <w:r>
        <w:fldChar w:fldCharType="begin"/>
      </w:r>
      <w:r>
        <w:instrText xml:space="preserve"> PAGEREF _Toc153186161 \h </w:instrText>
      </w:r>
      <w:r>
        <w:fldChar w:fldCharType="separate"/>
      </w:r>
      <w:r>
        <w:t>4</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"_Toc153186162" </w:instrText>
      </w:r>
      <w:r>
        <w:fldChar w:fldCharType="separate"/>
      </w:r>
      <w:r>
        <w:rPr>
          <w:rStyle w:val="39"/>
          <w:rFonts w:hAnsi="黑体"/>
          <w14:scene3d w14:prst="orthographicFront">
            <w14:lightRig w14:rig="threePt" w14:dir="t">
              <w14:rot w14:lat="0" w14:lon="0" w14:rev="0"/>
            </w14:lightRig>
          </w14:scene3d>
        </w:rPr>
        <w:t>4.4</w:t>
      </w:r>
      <w:r>
        <w:rPr>
          <w:rStyle w:val="39"/>
        </w:rPr>
        <w:t xml:space="preserve"> 建设碳排放管理体系</w:t>
      </w:r>
      <w:r>
        <w:tab/>
      </w:r>
      <w:r>
        <w:fldChar w:fldCharType="begin"/>
      </w:r>
      <w:r>
        <w:instrText xml:space="preserve"> PAGEREF _Toc153186162 \h </w:instrText>
      </w:r>
      <w:r>
        <w:fldChar w:fldCharType="separate"/>
      </w:r>
      <w:r>
        <w:t>5</w:t>
      </w:r>
      <w:r>
        <w:fldChar w:fldCharType="end"/>
      </w:r>
      <w:r>
        <w:fldChar w:fldCharType="end"/>
      </w:r>
    </w:p>
    <w:p>
      <w:pPr>
        <w:pStyle w:val="24"/>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"_Toc153186163" </w:instrText>
      </w:r>
      <w:r>
        <w:fldChar w:fldCharType="separate"/>
      </w:r>
      <w:r>
        <w:rPr>
          <w:rStyle w:val="39"/>
        </w:rPr>
        <w:t>5 基本要求</w:t>
      </w:r>
      <w:r>
        <w:tab/>
      </w:r>
      <w:r>
        <w:fldChar w:fldCharType="begin"/>
      </w:r>
      <w:r>
        <w:instrText xml:space="preserve"> PAGEREF _Toc153186163 \h </w:instrText>
      </w:r>
      <w:r>
        <w:fldChar w:fldCharType="separate"/>
      </w:r>
      <w:r>
        <w:t>5</w:t>
      </w:r>
      <w:r>
        <w:fldChar w:fldCharType="end"/>
      </w:r>
      <w:r>
        <w:fldChar w:fldCharType="end"/>
      </w:r>
    </w:p>
    <w:p>
      <w:pPr>
        <w:pStyle w:val="24"/>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"_Toc153186164" </w:instrText>
      </w:r>
      <w:r>
        <w:fldChar w:fldCharType="separate"/>
      </w:r>
      <w:r>
        <w:rPr>
          <w:rStyle w:val="39"/>
        </w:rPr>
        <w:t>6 领导作用</w:t>
      </w:r>
      <w:r>
        <w:tab/>
      </w:r>
      <w:r>
        <w:fldChar w:fldCharType="begin"/>
      </w:r>
      <w:r>
        <w:instrText xml:space="preserve"> PAGEREF _Toc153186164 \h </w:instrText>
      </w:r>
      <w:r>
        <w:fldChar w:fldCharType="separate"/>
      </w:r>
      <w:r>
        <w:t>5</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"_Toc153186165" </w:instrText>
      </w:r>
      <w:r>
        <w:fldChar w:fldCharType="separate"/>
      </w:r>
      <w:r>
        <w:rPr>
          <w:rStyle w:val="39"/>
          <w:rFonts w:hAnsi="黑体"/>
          <w14:scene3d w14:prst="orthographicFront">
            <w14:lightRig w14:rig="threePt" w14:dir="t">
              <w14:rot w14:lat="0" w14:lon="0" w14:rev="0"/>
            </w14:lightRig>
          </w14:scene3d>
        </w:rPr>
        <w:t>6.1</w:t>
      </w:r>
      <w:r>
        <w:rPr>
          <w:rStyle w:val="39"/>
        </w:rPr>
        <w:t xml:space="preserve"> 领导作用和承诺</w:t>
      </w:r>
      <w:r>
        <w:tab/>
      </w:r>
      <w:r>
        <w:fldChar w:fldCharType="begin"/>
      </w:r>
      <w:r>
        <w:instrText xml:space="preserve"> PAGEREF _Toc153186165 \h </w:instrText>
      </w:r>
      <w:r>
        <w:fldChar w:fldCharType="separate"/>
      </w:r>
      <w:r>
        <w:t>5</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"_Toc153186166" </w:instrText>
      </w:r>
      <w:r>
        <w:fldChar w:fldCharType="separate"/>
      </w:r>
      <w:r>
        <w:rPr>
          <w:rStyle w:val="39"/>
          <w:rFonts w:hAnsi="黑体"/>
          <w14:scene3d w14:prst="orthographicFront">
            <w14:lightRig w14:rig="threePt" w14:dir="t">
              <w14:rot w14:lat="0" w14:lon="0" w14:rev="0"/>
            </w14:lightRig>
          </w14:scene3d>
        </w:rPr>
        <w:t>6.2</w:t>
      </w:r>
      <w:r>
        <w:rPr>
          <w:rStyle w:val="39"/>
        </w:rPr>
        <w:t xml:space="preserve"> 碳排放管理方针</w:t>
      </w:r>
      <w:r>
        <w:tab/>
      </w:r>
      <w:r>
        <w:fldChar w:fldCharType="begin"/>
      </w:r>
      <w:r>
        <w:instrText xml:space="preserve"> PAGEREF _Toc153186166 \h </w:instrText>
      </w:r>
      <w:r>
        <w:fldChar w:fldCharType="separate"/>
      </w:r>
      <w:r>
        <w:t>6</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"_Toc153186167" </w:instrText>
      </w:r>
      <w:r>
        <w:fldChar w:fldCharType="separate"/>
      </w:r>
      <w:r>
        <w:rPr>
          <w:rStyle w:val="39"/>
          <w:rFonts w:hAnsi="黑体"/>
          <w14:scene3d w14:prst="orthographicFront">
            <w14:lightRig w14:rig="threePt" w14:dir="t">
              <w14:rot w14:lat="0" w14:lon="0" w14:rev="0"/>
            </w14:lightRig>
          </w14:scene3d>
        </w:rPr>
        <w:t>6.3</w:t>
      </w:r>
      <w:r>
        <w:rPr>
          <w:rStyle w:val="39"/>
        </w:rPr>
        <w:t xml:space="preserve"> 组织的角色、职责和权限</w:t>
      </w:r>
      <w:r>
        <w:tab/>
      </w:r>
      <w:r>
        <w:fldChar w:fldCharType="begin"/>
      </w:r>
      <w:r>
        <w:instrText xml:space="preserve"> PAGEREF _Toc153186167 \h </w:instrText>
      </w:r>
      <w:r>
        <w:fldChar w:fldCharType="separate"/>
      </w:r>
      <w:r>
        <w:t>6</w:t>
      </w:r>
      <w:r>
        <w:fldChar w:fldCharType="end"/>
      </w:r>
      <w:r>
        <w:fldChar w:fldCharType="end"/>
      </w:r>
    </w:p>
    <w:p>
      <w:pPr>
        <w:pStyle w:val="24"/>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"_Toc153186168" </w:instrText>
      </w:r>
      <w:r>
        <w:fldChar w:fldCharType="separate"/>
      </w:r>
      <w:r>
        <w:rPr>
          <w:rStyle w:val="39"/>
        </w:rPr>
        <w:t>7 策划</w:t>
      </w:r>
      <w:r>
        <w:tab/>
      </w:r>
      <w:r>
        <w:fldChar w:fldCharType="begin"/>
      </w:r>
      <w:r>
        <w:instrText xml:space="preserve"> PAGEREF _Toc153186168 \h </w:instrText>
      </w:r>
      <w:r>
        <w:fldChar w:fldCharType="separate"/>
      </w:r>
      <w:r>
        <w:t>7</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"_Toc153186169" </w:instrText>
      </w:r>
      <w:r>
        <w:fldChar w:fldCharType="separate"/>
      </w:r>
      <w:r>
        <w:rPr>
          <w:rStyle w:val="39"/>
          <w:rFonts w:hAnsi="黑体"/>
          <w14:scene3d w14:prst="orthographicFront">
            <w14:lightRig w14:rig="threePt" w14:dir="t">
              <w14:rot w14:lat="0" w14:lon="0" w14:rev="0"/>
            </w14:lightRig>
          </w14:scene3d>
        </w:rPr>
        <w:t>7.1</w:t>
      </w:r>
      <w:r>
        <w:rPr>
          <w:rStyle w:val="39"/>
        </w:rPr>
        <w:t xml:space="preserve"> 应对风险和机遇的措施</w:t>
      </w:r>
      <w:r>
        <w:tab/>
      </w:r>
      <w:r>
        <w:fldChar w:fldCharType="begin"/>
      </w:r>
      <w:r>
        <w:instrText xml:space="preserve"> PAGEREF _Toc153186169 \h </w:instrText>
      </w:r>
      <w:r>
        <w:fldChar w:fldCharType="separate"/>
      </w:r>
      <w:r>
        <w:t>7</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"_Toc153186170" </w:instrText>
      </w:r>
      <w:r>
        <w:fldChar w:fldCharType="separate"/>
      </w:r>
      <w:r>
        <w:rPr>
          <w:rStyle w:val="39"/>
          <w:rFonts w:hAnsi="黑体"/>
          <w14:scene3d w14:prst="orthographicFront">
            <w14:lightRig w14:rig="threePt" w14:dir="t">
              <w14:rot w14:lat="0" w14:lon="0" w14:rev="0"/>
            </w14:lightRig>
          </w14:scene3d>
        </w:rPr>
        <w:t>7.2</w:t>
      </w:r>
      <w:r>
        <w:rPr>
          <w:rStyle w:val="39"/>
        </w:rPr>
        <w:t xml:space="preserve"> 碳排放管理目标及实现的策划</w:t>
      </w:r>
      <w:r>
        <w:tab/>
      </w:r>
      <w:r>
        <w:fldChar w:fldCharType="begin"/>
      </w:r>
      <w:r>
        <w:instrText xml:space="preserve"> PAGEREF _Toc153186170 \h </w:instrText>
      </w:r>
      <w:r>
        <w:fldChar w:fldCharType="separate"/>
      </w:r>
      <w:r>
        <w:t>7</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"_Toc153186171" </w:instrText>
      </w:r>
      <w:r>
        <w:fldChar w:fldCharType="separate"/>
      </w:r>
      <w:r>
        <w:rPr>
          <w:rStyle w:val="39"/>
          <w:rFonts w:hAnsi="黑体"/>
          <w14:scene3d w14:prst="orthographicFront">
            <w14:lightRig w14:rig="threePt" w14:dir="t">
              <w14:rot w14:lat="0" w14:lon="0" w14:rev="0"/>
            </w14:lightRig>
          </w14:scene3d>
        </w:rPr>
        <w:t>7.3</w:t>
      </w:r>
      <w:r>
        <w:rPr>
          <w:rStyle w:val="39"/>
        </w:rPr>
        <w:t xml:space="preserve"> 碳排放评估</w:t>
      </w:r>
      <w:r>
        <w:tab/>
      </w:r>
      <w:r>
        <w:fldChar w:fldCharType="begin"/>
      </w:r>
      <w:r>
        <w:instrText xml:space="preserve"> PAGEREF _Toc153186171 \h </w:instrText>
      </w:r>
      <w:r>
        <w:fldChar w:fldCharType="separate"/>
      </w:r>
      <w:r>
        <w:t>7</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"_Toc153186172" </w:instrText>
      </w:r>
      <w:r>
        <w:fldChar w:fldCharType="separate"/>
      </w:r>
      <w:r>
        <w:rPr>
          <w:rStyle w:val="39"/>
          <w:rFonts w:hAnsi="黑体"/>
          <w14:scene3d w14:prst="orthographicFront">
            <w14:lightRig w14:rig="threePt" w14:dir="t">
              <w14:rot w14:lat="0" w14:lon="0" w14:rev="0"/>
            </w14:lightRig>
          </w14:scene3d>
        </w:rPr>
        <w:t>7.4</w:t>
      </w:r>
      <w:r>
        <w:rPr>
          <w:rStyle w:val="39"/>
        </w:rPr>
        <w:t xml:space="preserve"> 碳排放源</w:t>
      </w:r>
      <w:r>
        <w:tab/>
      </w:r>
      <w:r>
        <w:fldChar w:fldCharType="begin"/>
      </w:r>
      <w:r>
        <w:instrText xml:space="preserve"> PAGEREF _Toc153186172 \h </w:instrText>
      </w:r>
      <w:r>
        <w:fldChar w:fldCharType="separate"/>
      </w:r>
      <w:r>
        <w:t>8</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"_Toc153186173" </w:instrText>
      </w:r>
      <w:r>
        <w:fldChar w:fldCharType="separate"/>
      </w:r>
      <w:r>
        <w:rPr>
          <w:rStyle w:val="39"/>
          <w:rFonts w:hAnsi="黑体"/>
          <w14:scene3d w14:prst="orthographicFront">
            <w14:lightRig w14:rig="threePt" w14:dir="t">
              <w14:rot w14:lat="0" w14:lon="0" w14:rev="0"/>
            </w14:lightRig>
          </w14:scene3d>
        </w:rPr>
        <w:t>7.5</w:t>
      </w:r>
      <w:r>
        <w:rPr>
          <w:rStyle w:val="39"/>
        </w:rPr>
        <w:t xml:space="preserve"> 碳排放绩效参数</w:t>
      </w:r>
      <w:r>
        <w:tab/>
      </w:r>
      <w:r>
        <w:fldChar w:fldCharType="begin"/>
      </w:r>
      <w:r>
        <w:instrText xml:space="preserve"> PAGEREF _Toc153186173 \h </w:instrText>
      </w:r>
      <w:r>
        <w:fldChar w:fldCharType="separate"/>
      </w:r>
      <w:r>
        <w:t>8</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"_Toc153186174" </w:instrText>
      </w:r>
      <w:r>
        <w:fldChar w:fldCharType="separate"/>
      </w:r>
      <w:r>
        <w:rPr>
          <w:rStyle w:val="39"/>
          <w:rFonts w:hAnsi="黑体"/>
          <w14:scene3d w14:prst="orthographicFront">
            <w14:lightRig w14:rig="threePt" w14:dir="t">
              <w14:rot w14:lat="0" w14:lon="0" w14:rev="0"/>
            </w14:lightRig>
          </w14:scene3d>
        </w:rPr>
        <w:t>7.6</w:t>
      </w:r>
      <w:r>
        <w:rPr>
          <w:rStyle w:val="39"/>
        </w:rPr>
        <w:t xml:space="preserve"> 基准年</w:t>
      </w:r>
      <w:r>
        <w:tab/>
      </w:r>
      <w:r>
        <w:fldChar w:fldCharType="begin"/>
      </w:r>
      <w:r>
        <w:instrText xml:space="preserve"> PAGEREF _Toc153186174 \h </w:instrText>
      </w:r>
      <w:r>
        <w:fldChar w:fldCharType="separate"/>
      </w:r>
      <w:r>
        <w:t>8</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"_Toc153186175" </w:instrText>
      </w:r>
      <w:r>
        <w:fldChar w:fldCharType="separate"/>
      </w:r>
      <w:r>
        <w:rPr>
          <w:rStyle w:val="39"/>
          <w:rFonts w:hAnsi="黑体"/>
          <w14:scene3d w14:prst="orthographicFront">
            <w14:lightRig w14:rig="threePt" w14:dir="t">
              <w14:rot w14:lat="0" w14:lon="0" w14:rev="0"/>
            </w14:lightRig>
          </w14:scene3d>
        </w:rPr>
        <w:t>7.7</w:t>
      </w:r>
      <w:r>
        <w:rPr>
          <w:rStyle w:val="39"/>
        </w:rPr>
        <w:t xml:space="preserve"> 碳排放管理相关数据收集的策划</w:t>
      </w:r>
      <w:r>
        <w:tab/>
      </w:r>
      <w:r>
        <w:fldChar w:fldCharType="begin"/>
      </w:r>
      <w:r>
        <w:instrText xml:space="preserve"> PAGEREF _Toc153186175 \h </w:instrText>
      </w:r>
      <w:r>
        <w:fldChar w:fldCharType="separate"/>
      </w:r>
      <w:r>
        <w:t>8</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"_Toc153186176" </w:instrText>
      </w:r>
      <w:r>
        <w:fldChar w:fldCharType="separate"/>
      </w:r>
      <w:r>
        <w:rPr>
          <w:rStyle w:val="39"/>
          <w:rFonts w:hAnsi="黑体"/>
          <w14:scene3d w14:prst="orthographicFront">
            <w14:lightRig w14:rig="threePt" w14:dir="t">
              <w14:rot w14:lat="0" w14:lon="0" w14:rev="0"/>
            </w14:lightRig>
          </w14:scene3d>
        </w:rPr>
        <w:t>7.8</w:t>
      </w:r>
      <w:r>
        <w:rPr>
          <w:rStyle w:val="39"/>
        </w:rPr>
        <w:t xml:space="preserve"> 合规义务</w:t>
      </w:r>
      <w:r>
        <w:tab/>
      </w:r>
      <w:r>
        <w:fldChar w:fldCharType="begin"/>
      </w:r>
      <w:r>
        <w:instrText xml:space="preserve"> PAGEREF _Toc153186176 \h </w:instrText>
      </w:r>
      <w:r>
        <w:fldChar w:fldCharType="separate"/>
      </w:r>
      <w:r>
        <w:t>9</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"_Toc153186177" </w:instrText>
      </w:r>
      <w:r>
        <w:fldChar w:fldCharType="separate"/>
      </w:r>
      <w:r>
        <w:rPr>
          <w:rStyle w:val="39"/>
          <w:rFonts w:hAnsi="黑体"/>
          <w14:scene3d w14:prst="orthographicFront">
            <w14:lightRig w14:rig="threePt" w14:dir="t">
              <w14:rot w14:lat="0" w14:lon="0" w14:rev="0"/>
            </w14:lightRig>
          </w14:scene3d>
        </w:rPr>
        <w:t>7.9</w:t>
      </w:r>
      <w:r>
        <w:rPr>
          <w:rStyle w:val="39"/>
        </w:rPr>
        <w:t xml:space="preserve"> 变更的策划</w:t>
      </w:r>
      <w:r>
        <w:tab/>
      </w:r>
      <w:r>
        <w:fldChar w:fldCharType="begin"/>
      </w:r>
      <w:r>
        <w:instrText xml:space="preserve"> PAGEREF _Toc153186177 \h </w:instrText>
      </w:r>
      <w:r>
        <w:fldChar w:fldCharType="separate"/>
      </w:r>
      <w:r>
        <w:t>9</w:t>
      </w:r>
      <w:r>
        <w:fldChar w:fldCharType="end"/>
      </w:r>
      <w:r>
        <w:fldChar w:fldCharType="end"/>
      </w:r>
    </w:p>
    <w:p>
      <w:pPr>
        <w:pStyle w:val="24"/>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"_Toc153186178" </w:instrText>
      </w:r>
      <w:r>
        <w:fldChar w:fldCharType="separate"/>
      </w:r>
      <w:r>
        <w:rPr>
          <w:rStyle w:val="39"/>
        </w:rPr>
        <w:t>8 支持</w:t>
      </w:r>
      <w:r>
        <w:tab/>
      </w:r>
      <w:r>
        <w:fldChar w:fldCharType="begin"/>
      </w:r>
      <w:r>
        <w:instrText xml:space="preserve"> PAGEREF _Toc153186178 \h </w:instrText>
      </w:r>
      <w:r>
        <w:fldChar w:fldCharType="separate"/>
      </w:r>
      <w:r>
        <w:t>9</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"_Toc153186179" </w:instrText>
      </w:r>
      <w:r>
        <w:fldChar w:fldCharType="separate"/>
      </w:r>
      <w:r>
        <w:rPr>
          <w:rStyle w:val="39"/>
          <w:rFonts w:hAnsi="黑体"/>
          <w14:scene3d w14:prst="orthographicFront">
            <w14:lightRig w14:rig="threePt" w14:dir="t">
              <w14:rot w14:lat="0" w14:lon="0" w14:rev="0"/>
            </w14:lightRig>
          </w14:scene3d>
        </w:rPr>
        <w:t>8.1</w:t>
      </w:r>
      <w:r>
        <w:rPr>
          <w:rStyle w:val="39"/>
        </w:rPr>
        <w:t xml:space="preserve"> 总则</w:t>
      </w:r>
      <w:r>
        <w:tab/>
      </w:r>
      <w:r>
        <w:fldChar w:fldCharType="begin"/>
      </w:r>
      <w:r>
        <w:instrText xml:space="preserve"> PAGEREF _Toc153186179 \h </w:instrText>
      </w:r>
      <w:r>
        <w:fldChar w:fldCharType="separate"/>
      </w:r>
      <w:r>
        <w:t>9</w:t>
      </w:r>
      <w:r>
        <w:fldChar w:fldCharType="end"/>
      </w:r>
      <w:r>
        <w:fldChar w:fldCharType="end"/>
      </w:r>
    </w:p>
    <w:p>
      <w:pPr>
        <w:pStyle w:val="29"/>
        <w:spacing w:line="240" w:lineRule="auto"/>
      </w:pPr>
      <w:r>
        <w:fldChar w:fldCharType="begin"/>
      </w:r>
      <w:r>
        <w:instrText xml:space="preserve"> HYPERLINK \l "_Toc153186180" </w:instrText>
      </w:r>
      <w:r>
        <w:fldChar w:fldCharType="separate"/>
      </w:r>
      <w:r>
        <w:rPr>
          <w:rStyle w:val="39"/>
          <w:rFonts w:hAnsi="黑体"/>
          <w14:scene3d w14:prst="orthographicFront">
            <w14:lightRig w14:rig="threePt" w14:dir="t">
              <w14:rot w14:lat="0" w14:lon="0" w14:rev="0"/>
            </w14:lightRig>
          </w14:scene3d>
        </w:rPr>
        <w:t>8.2</w:t>
      </w:r>
      <w:r>
        <w:rPr>
          <w:rStyle w:val="39"/>
        </w:rPr>
        <w:t xml:space="preserve"> 文件和记录</w:t>
      </w:r>
      <w:r>
        <w:tab/>
      </w:r>
      <w:r>
        <w:fldChar w:fldCharType="begin"/>
      </w:r>
      <w:r>
        <w:instrText xml:space="preserve"> PAGEREF _Toc153186180 \h </w:instrText>
      </w:r>
      <w:r>
        <w:fldChar w:fldCharType="separate"/>
      </w:r>
      <w:r>
        <w:t>9</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"_Toc153186181" </w:instrText>
      </w:r>
      <w:r>
        <w:fldChar w:fldCharType="separate"/>
      </w:r>
      <w:r>
        <w:rPr>
          <w:rStyle w:val="39"/>
          <w:rFonts w:hAnsi="黑体"/>
          <w14:scene3d w14:prst="orthographicFront">
            <w14:lightRig w14:rig="threePt" w14:dir="t">
              <w14:rot w14:lat="0" w14:lon="0" w14:rev="0"/>
            </w14:lightRig>
          </w14:scene3d>
        </w:rPr>
        <w:t>8.3</w:t>
      </w:r>
      <w:r>
        <w:rPr>
          <w:rStyle w:val="39"/>
        </w:rPr>
        <w:t xml:space="preserve"> 能力和意识</w:t>
      </w:r>
      <w:r>
        <w:tab/>
      </w:r>
      <w:r>
        <w:fldChar w:fldCharType="begin"/>
      </w:r>
      <w:r>
        <w:instrText xml:space="preserve"> PAGEREF _Toc153186181 \h </w:instrText>
      </w:r>
      <w:r>
        <w:fldChar w:fldCharType="separate"/>
      </w:r>
      <w:r>
        <w:t>10</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"_Toc153186182" </w:instrText>
      </w:r>
      <w:r>
        <w:fldChar w:fldCharType="separate"/>
      </w:r>
      <w:r>
        <w:rPr>
          <w:rStyle w:val="39"/>
          <w:rFonts w:hAnsi="黑体"/>
          <w14:scene3d w14:prst="orthographicFront">
            <w14:lightRig w14:rig="threePt" w14:dir="t">
              <w14:rot w14:lat="0" w14:lon="0" w14:rev="0"/>
            </w14:lightRig>
          </w14:scene3d>
        </w:rPr>
        <w:t>8.4</w:t>
      </w:r>
      <w:r>
        <w:rPr>
          <w:rStyle w:val="39"/>
        </w:rPr>
        <w:t xml:space="preserve"> 资源配置</w:t>
      </w:r>
      <w:r>
        <w:tab/>
      </w:r>
      <w:r>
        <w:fldChar w:fldCharType="begin"/>
      </w:r>
      <w:r>
        <w:instrText xml:space="preserve"> PAGEREF _Toc153186182 \h </w:instrText>
      </w:r>
      <w:r>
        <w:fldChar w:fldCharType="separate"/>
      </w:r>
      <w:r>
        <w:t>10</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"_Toc153186183" </w:instrText>
      </w:r>
      <w:r>
        <w:fldChar w:fldCharType="separate"/>
      </w:r>
      <w:r>
        <w:rPr>
          <w:rStyle w:val="39"/>
          <w:rFonts w:hAnsi="黑体"/>
          <w14:scene3d w14:prst="orthographicFront">
            <w14:lightRig w14:rig="threePt" w14:dir="t">
              <w14:rot w14:lat="0" w14:lon="0" w14:rev="0"/>
            </w14:lightRig>
          </w14:scene3d>
        </w:rPr>
        <w:t>8.5</w:t>
      </w:r>
      <w:r>
        <w:rPr>
          <w:rStyle w:val="39"/>
        </w:rPr>
        <w:t xml:space="preserve"> 碳排放信息交流</w:t>
      </w:r>
      <w:r>
        <w:tab/>
      </w:r>
      <w:r>
        <w:fldChar w:fldCharType="begin"/>
      </w:r>
      <w:r>
        <w:instrText xml:space="preserve"> PAGEREF _Toc153186183 \h </w:instrText>
      </w:r>
      <w:r>
        <w:fldChar w:fldCharType="separate"/>
      </w:r>
      <w:r>
        <w:t>11</w:t>
      </w:r>
      <w:r>
        <w:fldChar w:fldCharType="end"/>
      </w:r>
      <w:r>
        <w:fldChar w:fldCharType="end"/>
      </w:r>
    </w:p>
    <w:p>
      <w:pPr>
        <w:pStyle w:val="24"/>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"_Toc153186184" </w:instrText>
      </w:r>
      <w:r>
        <w:fldChar w:fldCharType="separate"/>
      </w:r>
      <w:r>
        <w:rPr>
          <w:rStyle w:val="39"/>
        </w:rPr>
        <w:t>9 运行</w:t>
      </w:r>
      <w:r>
        <w:tab/>
      </w:r>
      <w:r>
        <w:fldChar w:fldCharType="begin"/>
      </w:r>
      <w:r>
        <w:instrText xml:space="preserve"> PAGEREF _Toc153186184 \h </w:instrText>
      </w:r>
      <w:r>
        <w:fldChar w:fldCharType="separate"/>
      </w:r>
      <w:r>
        <w:t>11</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"_Toc153186185" </w:instrText>
      </w:r>
      <w:r>
        <w:fldChar w:fldCharType="separate"/>
      </w:r>
      <w:r>
        <w:rPr>
          <w:rStyle w:val="39"/>
          <w:rFonts w:hAnsi="黑体"/>
          <w14:scene3d w14:prst="orthographicFront">
            <w14:lightRig w14:rig="threePt" w14:dir="t">
              <w14:rot w14:lat="0" w14:lon="0" w14:rev="0"/>
            </w14:lightRig>
          </w14:scene3d>
        </w:rPr>
        <w:t>9.1</w:t>
      </w:r>
      <w:r>
        <w:rPr>
          <w:rStyle w:val="39"/>
        </w:rPr>
        <w:t xml:space="preserve"> 总则</w:t>
      </w:r>
      <w:r>
        <w:tab/>
      </w:r>
      <w:r>
        <w:fldChar w:fldCharType="begin"/>
      </w:r>
      <w:r>
        <w:instrText xml:space="preserve"> PAGEREF _Toc153186185 \h </w:instrText>
      </w:r>
      <w:r>
        <w:fldChar w:fldCharType="separate"/>
      </w:r>
      <w:r>
        <w:t>11</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"_Toc153186186" </w:instrText>
      </w:r>
      <w:r>
        <w:fldChar w:fldCharType="separate"/>
      </w:r>
      <w:r>
        <w:rPr>
          <w:rStyle w:val="39"/>
          <w:rFonts w:hAnsi="黑体"/>
          <w14:scene3d w14:prst="orthographicFront">
            <w14:lightRig w14:rig="threePt" w14:dir="t">
              <w14:rot w14:lat="0" w14:lon="0" w14:rev="0"/>
            </w14:lightRig>
          </w14:scene3d>
        </w:rPr>
        <w:t>9.2</w:t>
      </w:r>
      <w:r>
        <w:rPr>
          <w:rStyle w:val="39"/>
        </w:rPr>
        <w:t xml:space="preserve"> 设计</w:t>
      </w:r>
      <w:r>
        <w:tab/>
      </w:r>
      <w:r>
        <w:fldChar w:fldCharType="begin"/>
      </w:r>
      <w:r>
        <w:instrText xml:space="preserve"> PAGEREF _Toc153186186 \h </w:instrText>
      </w:r>
      <w:r>
        <w:fldChar w:fldCharType="separate"/>
      </w:r>
      <w:r>
        <w:t>11</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"_Toc153186187" </w:instrText>
      </w:r>
      <w:r>
        <w:fldChar w:fldCharType="separate"/>
      </w:r>
      <w:r>
        <w:rPr>
          <w:rStyle w:val="39"/>
          <w:rFonts w:hAnsi="黑体"/>
          <w14:scene3d w14:prst="orthographicFront">
            <w14:lightRig w14:rig="threePt" w14:dir="t">
              <w14:rot w14:lat="0" w14:lon="0" w14:rev="0"/>
            </w14:lightRig>
          </w14:scene3d>
        </w:rPr>
        <w:t>9.3</w:t>
      </w:r>
      <w:r>
        <w:rPr>
          <w:rStyle w:val="39"/>
        </w:rPr>
        <w:t xml:space="preserve"> 采购控制</w:t>
      </w:r>
      <w:r>
        <w:tab/>
      </w:r>
      <w:r>
        <w:fldChar w:fldCharType="begin"/>
      </w:r>
      <w:r>
        <w:instrText xml:space="preserve"> PAGEREF _Toc153186187 \h </w:instrText>
      </w:r>
      <w:r>
        <w:fldChar w:fldCharType="separate"/>
      </w:r>
      <w:r>
        <w:t>11</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"_Toc153186188" </w:instrText>
      </w:r>
      <w:r>
        <w:fldChar w:fldCharType="separate"/>
      </w:r>
      <w:r>
        <w:rPr>
          <w:rStyle w:val="39"/>
          <w:rFonts w:hAnsi="黑体"/>
          <w14:scene3d w14:prst="orthographicFront">
            <w14:lightRig w14:rig="threePt" w14:dir="t">
              <w14:rot w14:lat="0" w14:lon="0" w14:rev="0"/>
            </w14:lightRig>
          </w14:scene3d>
        </w:rPr>
        <w:t>9.4</w:t>
      </w:r>
      <w:r>
        <w:rPr>
          <w:rStyle w:val="39"/>
        </w:rPr>
        <w:t xml:space="preserve"> 运行控制</w:t>
      </w:r>
      <w:r>
        <w:tab/>
      </w:r>
      <w:r>
        <w:fldChar w:fldCharType="begin"/>
      </w:r>
      <w:r>
        <w:instrText xml:space="preserve"> PAGEREF _Toc153186188 \h </w:instrText>
      </w:r>
      <w:r>
        <w:fldChar w:fldCharType="separate"/>
      </w:r>
      <w:r>
        <w:t>11</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"_Toc153186189" </w:instrText>
      </w:r>
      <w:r>
        <w:fldChar w:fldCharType="separate"/>
      </w:r>
      <w:r>
        <w:rPr>
          <w:rStyle w:val="39"/>
          <w:rFonts w:hAnsi="黑体"/>
          <w14:scene3d w14:prst="orthographicFront">
            <w14:lightRig w14:rig="threePt" w14:dir="t">
              <w14:rot w14:lat="0" w14:lon="0" w14:rev="0"/>
            </w14:lightRig>
          </w14:scene3d>
        </w:rPr>
        <w:t>9.5</w:t>
      </w:r>
      <w:r>
        <w:rPr>
          <w:rStyle w:val="39"/>
        </w:rPr>
        <w:t xml:space="preserve"> 碳排放核算与报告</w:t>
      </w:r>
      <w:r>
        <w:tab/>
      </w:r>
      <w:r>
        <w:fldChar w:fldCharType="begin"/>
      </w:r>
      <w:r>
        <w:instrText xml:space="preserve"> PAGEREF _Toc153186189 \h </w:instrText>
      </w:r>
      <w:r>
        <w:fldChar w:fldCharType="separate"/>
      </w:r>
      <w:r>
        <w:t>12</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"_Toc153186190" </w:instrText>
      </w:r>
      <w:r>
        <w:fldChar w:fldCharType="separate"/>
      </w:r>
      <w:r>
        <w:rPr>
          <w:rStyle w:val="39"/>
          <w:rFonts w:hAnsi="黑体"/>
          <w14:scene3d w14:prst="orthographicFront">
            <w14:lightRig w14:rig="threePt" w14:dir="t">
              <w14:rot w14:lat="0" w14:lon="0" w14:rev="0"/>
            </w14:lightRig>
          </w14:scene3d>
        </w:rPr>
        <w:t>9.6</w:t>
      </w:r>
      <w:r>
        <w:rPr>
          <w:rStyle w:val="39"/>
        </w:rPr>
        <w:t xml:space="preserve"> 碳资产管理</w:t>
      </w:r>
      <w:r>
        <w:tab/>
      </w:r>
      <w:r>
        <w:fldChar w:fldCharType="begin"/>
      </w:r>
      <w:r>
        <w:instrText xml:space="preserve"> PAGEREF _Toc153186190 \h </w:instrText>
      </w:r>
      <w:r>
        <w:fldChar w:fldCharType="separate"/>
      </w:r>
      <w:r>
        <w:t>12</w:t>
      </w:r>
      <w:r>
        <w:fldChar w:fldCharType="end"/>
      </w:r>
      <w:r>
        <w:fldChar w:fldCharType="end"/>
      </w:r>
    </w:p>
    <w:p>
      <w:pPr>
        <w:pStyle w:val="24"/>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"_Toc153186193" </w:instrText>
      </w:r>
      <w:r>
        <w:fldChar w:fldCharType="separate"/>
      </w:r>
      <w:r>
        <w:rPr>
          <w:rStyle w:val="39"/>
          <w:rFonts w:hAnsi="黑体"/>
        </w:rPr>
        <w:t>10 绩效评价</w:t>
      </w:r>
      <w:r>
        <w:tab/>
      </w:r>
      <w:r>
        <w:fldChar w:fldCharType="begin"/>
      </w:r>
      <w:r>
        <w:instrText xml:space="preserve"> PAGEREF _Toc153186193 \h </w:instrText>
      </w:r>
      <w:r>
        <w:fldChar w:fldCharType="separate"/>
      </w:r>
      <w:r>
        <w:t>12</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"_Toc153186194" </w:instrText>
      </w:r>
      <w:r>
        <w:fldChar w:fldCharType="separate"/>
      </w:r>
      <w:r>
        <w:rPr>
          <w:rStyle w:val="39"/>
          <w:rFonts w:hAnsi="黑体"/>
          <w14:scene3d w14:prst="orthographicFront">
            <w14:lightRig w14:rig="threePt" w14:dir="t">
              <w14:rot w14:lat="0" w14:lon="0" w14:rev="0"/>
            </w14:lightRig>
          </w14:scene3d>
        </w:rPr>
        <w:t>10.1</w:t>
      </w:r>
      <w:r>
        <w:rPr>
          <w:rStyle w:val="39"/>
        </w:rPr>
        <w:t xml:space="preserve"> 监视、测量、分析和评价</w:t>
      </w:r>
      <w:r>
        <w:tab/>
      </w:r>
      <w:r>
        <w:fldChar w:fldCharType="begin"/>
      </w:r>
      <w:r>
        <w:instrText xml:space="preserve"> PAGEREF _Toc153186194 \h </w:instrText>
      </w:r>
      <w:r>
        <w:fldChar w:fldCharType="separate"/>
      </w:r>
      <w:r>
        <w:t>12</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"_Toc153186198" </w:instrText>
      </w:r>
      <w:r>
        <w:fldChar w:fldCharType="separate"/>
      </w:r>
      <w:r>
        <w:rPr>
          <w:rStyle w:val="39"/>
          <w:rFonts w:hAnsi="黑体"/>
          <w14:scene3d w14:prst="orthographicFront">
            <w14:lightRig w14:rig="threePt" w14:dir="t">
              <w14:rot w14:lat="0" w14:lon="0" w14:rev="0"/>
            </w14:lightRig>
          </w14:scene3d>
        </w:rPr>
        <w:t>10.2</w:t>
      </w:r>
      <w:r>
        <w:rPr>
          <w:rStyle w:val="39"/>
        </w:rPr>
        <w:t xml:space="preserve"> 内部审核</w:t>
      </w:r>
      <w:r>
        <w:tab/>
      </w:r>
      <w:r>
        <w:fldChar w:fldCharType="begin"/>
      </w:r>
      <w:r>
        <w:instrText xml:space="preserve"> PAGEREF _Toc153186198 \h </w:instrText>
      </w:r>
      <w:r>
        <w:fldChar w:fldCharType="separate"/>
      </w:r>
      <w:r>
        <w:t>13</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"_Toc153186201" </w:instrText>
      </w:r>
      <w:r>
        <w:fldChar w:fldCharType="separate"/>
      </w:r>
      <w:r>
        <w:rPr>
          <w:rStyle w:val="39"/>
          <w:rFonts w:hAnsi="黑体"/>
          <w14:scene3d w14:prst="orthographicFront">
            <w14:lightRig w14:rig="threePt" w14:dir="t">
              <w14:rot w14:lat="0" w14:lon="0" w14:rev="0"/>
            </w14:lightRig>
          </w14:scene3d>
        </w:rPr>
        <w:t>10.3</w:t>
      </w:r>
      <w:r>
        <w:rPr>
          <w:rStyle w:val="39"/>
        </w:rPr>
        <w:t xml:space="preserve"> 管理评审</w:t>
      </w:r>
      <w:r>
        <w:tab/>
      </w:r>
      <w:r>
        <w:fldChar w:fldCharType="begin"/>
      </w:r>
      <w:r>
        <w:instrText xml:space="preserve"> PAGEREF _Toc153186201 \h </w:instrText>
      </w:r>
      <w:r>
        <w:fldChar w:fldCharType="separate"/>
      </w:r>
      <w:r>
        <w:t>14</w:t>
      </w:r>
      <w:r>
        <w:fldChar w:fldCharType="end"/>
      </w:r>
      <w:r>
        <w:fldChar w:fldCharType="end"/>
      </w:r>
    </w:p>
    <w:p>
      <w:pPr>
        <w:pStyle w:val="24"/>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"_Toc153186205" </w:instrText>
      </w:r>
      <w:r>
        <w:fldChar w:fldCharType="separate"/>
      </w:r>
      <w:r>
        <w:rPr>
          <w:rStyle w:val="39"/>
          <w:rFonts w:hAnsi="黑体"/>
        </w:rPr>
        <w:t>11 改进</w:t>
      </w:r>
      <w:r>
        <w:tab/>
      </w:r>
      <w:r>
        <w:fldChar w:fldCharType="begin"/>
      </w:r>
      <w:r>
        <w:instrText xml:space="preserve"> PAGEREF _Toc153186205 \h </w:instrText>
      </w:r>
      <w:r>
        <w:fldChar w:fldCharType="separate"/>
      </w:r>
      <w:r>
        <w:t>14</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"_Toc153186206" </w:instrText>
      </w:r>
      <w:r>
        <w:fldChar w:fldCharType="separate"/>
      </w:r>
      <w:r>
        <w:rPr>
          <w:rStyle w:val="39"/>
          <w:rFonts w:hAnsi="黑体"/>
          <w14:scene3d w14:prst="orthographicFront">
            <w14:lightRig w14:rig="threePt" w14:dir="t">
              <w14:rot w14:lat="0" w14:lon="0" w14:rev="0"/>
            </w14:lightRig>
          </w14:scene3d>
        </w:rPr>
        <w:t>11.1</w:t>
      </w:r>
      <w:r>
        <w:rPr>
          <w:rStyle w:val="39"/>
        </w:rPr>
        <w:t xml:space="preserve"> 总则</w:t>
      </w:r>
      <w:r>
        <w:tab/>
      </w:r>
      <w:r>
        <w:fldChar w:fldCharType="begin"/>
      </w:r>
      <w:r>
        <w:instrText xml:space="preserve"> PAGEREF _Toc153186206 \h </w:instrText>
      </w:r>
      <w:r>
        <w:fldChar w:fldCharType="separate"/>
      </w:r>
      <w:r>
        <w:t>15</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"_Toc153186207" </w:instrText>
      </w:r>
      <w:r>
        <w:fldChar w:fldCharType="separate"/>
      </w:r>
      <w:r>
        <w:rPr>
          <w:rStyle w:val="39"/>
          <w:rFonts w:hAnsi="黑体"/>
          <w14:scene3d w14:prst="orthographicFront">
            <w14:lightRig w14:rig="threePt" w14:dir="t">
              <w14:rot w14:lat="0" w14:lon="0" w14:rev="0"/>
            </w14:lightRig>
          </w14:scene3d>
        </w:rPr>
        <w:t>11.2</w:t>
      </w:r>
      <w:r>
        <w:rPr>
          <w:rStyle w:val="39"/>
        </w:rPr>
        <w:t xml:space="preserve"> 不符合及纠正措施</w:t>
      </w:r>
      <w:r>
        <w:tab/>
      </w:r>
      <w:r>
        <w:fldChar w:fldCharType="begin"/>
      </w:r>
      <w:r>
        <w:instrText xml:space="preserve"> PAGEREF _Toc153186207 \h </w:instrText>
      </w:r>
      <w:r>
        <w:fldChar w:fldCharType="separate"/>
      </w:r>
      <w:r>
        <w:t>15</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"_Toc153186208" </w:instrText>
      </w:r>
      <w:r>
        <w:fldChar w:fldCharType="separate"/>
      </w:r>
      <w:r>
        <w:rPr>
          <w:rStyle w:val="39"/>
          <w:rFonts w:hAnsi="黑体"/>
          <w14:scene3d w14:prst="orthographicFront">
            <w14:lightRig w14:rig="threePt" w14:dir="t">
              <w14:rot w14:lat="0" w14:lon="0" w14:rev="0"/>
            </w14:lightRig>
          </w14:scene3d>
        </w:rPr>
        <w:t>11.3</w:t>
      </w:r>
      <w:r>
        <w:rPr>
          <w:rStyle w:val="39"/>
        </w:rPr>
        <w:t xml:space="preserve"> 持续改进</w:t>
      </w:r>
      <w:r>
        <w:tab/>
      </w:r>
      <w:r>
        <w:fldChar w:fldCharType="begin"/>
      </w:r>
      <w:r>
        <w:instrText xml:space="preserve"> PAGEREF _Toc153186208 \h </w:instrText>
      </w:r>
      <w:r>
        <w:fldChar w:fldCharType="separate"/>
      </w:r>
      <w:r>
        <w:t>15</w:t>
      </w:r>
      <w:r>
        <w:fldChar w:fldCharType="end"/>
      </w:r>
      <w:r>
        <w:fldChar w:fldCharType="end"/>
      </w:r>
    </w:p>
    <w:p>
      <w:pPr>
        <w:pStyle w:val="24"/>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"_Toc153186209" </w:instrText>
      </w:r>
      <w:r>
        <w:fldChar w:fldCharType="separate"/>
      </w:r>
      <w:r>
        <w:rPr>
          <w:rStyle w:val="39"/>
          <w:rFonts w:hAnsi="黑体"/>
        </w:rPr>
        <w:t>12 评价指标体系</w:t>
      </w:r>
      <w:r>
        <w:tab/>
      </w:r>
      <w:r>
        <w:fldChar w:fldCharType="begin"/>
      </w:r>
      <w:r>
        <w:instrText xml:space="preserve"> PAGEREF _Toc153186209 \h </w:instrText>
      </w:r>
      <w:r>
        <w:fldChar w:fldCharType="separate"/>
      </w:r>
      <w:r>
        <w:t>15</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"_Toc153186210" </w:instrText>
      </w:r>
      <w:r>
        <w:fldChar w:fldCharType="separate"/>
      </w:r>
      <w:r>
        <w:rPr>
          <w:rStyle w:val="39"/>
          <w:rFonts w:hAnsi="黑体"/>
          <w14:scene3d w14:prst="orthographicFront">
            <w14:lightRig w14:rig="threePt" w14:dir="t">
              <w14:rot w14:lat="0" w14:lon="0" w14:rev="0"/>
            </w14:lightRig>
          </w14:scene3d>
        </w:rPr>
        <w:t>12.1</w:t>
      </w:r>
      <w:r>
        <w:rPr>
          <w:rStyle w:val="39"/>
        </w:rPr>
        <w:t xml:space="preserve"> 评价方法</w:t>
      </w:r>
      <w:r>
        <w:tab/>
      </w:r>
      <w:r>
        <w:fldChar w:fldCharType="begin"/>
      </w:r>
      <w:r>
        <w:instrText xml:space="preserve"> PAGEREF _Toc153186210 \h </w:instrText>
      </w:r>
      <w:r>
        <w:fldChar w:fldCharType="separate"/>
      </w:r>
      <w:r>
        <w:t>15</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"_Toc153186211" </w:instrText>
      </w:r>
      <w:r>
        <w:fldChar w:fldCharType="separate"/>
      </w:r>
      <w:r>
        <w:rPr>
          <w:rStyle w:val="39"/>
          <w:rFonts w:hAnsi="黑体"/>
          <w14:scene3d w14:prst="orthographicFront">
            <w14:lightRig w14:rig="threePt" w14:dir="t">
              <w14:rot w14:lat="0" w14:lon="0" w14:rev="0"/>
            </w14:lightRig>
          </w14:scene3d>
        </w:rPr>
        <w:t>12.2</w:t>
      </w:r>
      <w:r>
        <w:rPr>
          <w:rStyle w:val="39"/>
        </w:rPr>
        <w:t xml:space="preserve"> 定性评价</w:t>
      </w:r>
      <w:r>
        <w:tab/>
      </w:r>
      <w:r>
        <w:fldChar w:fldCharType="begin"/>
      </w:r>
      <w:r>
        <w:instrText xml:space="preserve"> PAGEREF _Toc153186211 \h </w:instrText>
      </w:r>
      <w:r>
        <w:fldChar w:fldCharType="separate"/>
      </w:r>
      <w:r>
        <w:t>15</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"_Toc153186212" </w:instrText>
      </w:r>
      <w:r>
        <w:fldChar w:fldCharType="separate"/>
      </w:r>
      <w:r>
        <w:rPr>
          <w:rStyle w:val="39"/>
          <w:rFonts w:hAnsi="黑体"/>
          <w14:scene3d w14:prst="orthographicFront">
            <w14:lightRig w14:rig="threePt" w14:dir="t">
              <w14:rot w14:lat="0" w14:lon="0" w14:rev="0"/>
            </w14:lightRig>
          </w14:scene3d>
        </w:rPr>
        <w:t>12.3</w:t>
      </w:r>
      <w:r>
        <w:rPr>
          <w:rStyle w:val="39"/>
        </w:rPr>
        <w:t xml:space="preserve"> 定量评价</w:t>
      </w:r>
      <w:r>
        <w:tab/>
      </w:r>
      <w:r>
        <w:fldChar w:fldCharType="begin"/>
      </w:r>
      <w:r>
        <w:instrText xml:space="preserve"> PAGEREF _Toc153186212 \h </w:instrText>
      </w:r>
      <w:r>
        <w:fldChar w:fldCharType="separate"/>
      </w:r>
      <w:r>
        <w:t>15</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"_Toc153186215" </w:instrText>
      </w:r>
      <w:r>
        <w:fldChar w:fldCharType="separate"/>
      </w:r>
      <w:r>
        <w:rPr>
          <w:rStyle w:val="39"/>
          <w:rFonts w:hAnsi="黑体"/>
          <w14:scene3d w14:prst="orthographicFront">
            <w14:lightRig w14:rig="threePt" w14:dir="t">
              <w14:rot w14:lat="0" w14:lon="0" w14:rev="0"/>
            </w14:lightRig>
          </w14:scene3d>
        </w:rPr>
        <w:t>12.4</w:t>
      </w:r>
      <w:r>
        <w:rPr>
          <w:rStyle w:val="39"/>
        </w:rPr>
        <w:t xml:space="preserve"> 评价指标计分及评价结果</w:t>
      </w:r>
      <w:r>
        <w:tab/>
      </w:r>
      <w:r>
        <w:fldChar w:fldCharType="begin"/>
      </w:r>
      <w:r>
        <w:instrText xml:space="preserve"> PAGEREF _Toc153186215 \h </w:instrText>
      </w:r>
      <w:r>
        <w:fldChar w:fldCharType="separate"/>
      </w:r>
      <w:r>
        <w:t>16</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"_Toc153186218" </w:instrText>
      </w:r>
      <w:r>
        <w:fldChar w:fldCharType="separate"/>
      </w:r>
      <w:r>
        <w:rPr>
          <w:rStyle w:val="39"/>
          <w:rFonts w:hAnsi="黑体"/>
          <w14:scene3d w14:prst="orthographicFront">
            <w14:lightRig w14:rig="threePt" w14:dir="t">
              <w14:rot w14:lat="0" w14:lon="0" w14:rev="0"/>
            </w14:lightRig>
          </w14:scene3d>
        </w:rPr>
        <w:t>12.5</w:t>
      </w:r>
      <w:r>
        <w:rPr>
          <w:rStyle w:val="39"/>
        </w:rPr>
        <w:t xml:space="preserve"> 评价</w:t>
      </w:r>
      <w:r>
        <w:rPr>
          <w:rStyle w:val="39"/>
          <w:rFonts w:hint="eastAsia"/>
        </w:rPr>
        <w:t>程序</w:t>
      </w:r>
      <w:r>
        <w:tab/>
      </w:r>
      <w:r>
        <w:fldChar w:fldCharType="begin"/>
      </w:r>
      <w:r>
        <w:instrText xml:space="preserve"> PAGEREF _Toc153186218 \h </w:instrText>
      </w:r>
      <w:r>
        <w:fldChar w:fldCharType="separate"/>
      </w:r>
      <w:r>
        <w:t>16</w:t>
      </w:r>
      <w:r>
        <w:fldChar w:fldCharType="end"/>
      </w:r>
      <w:r>
        <w:fldChar w:fldCharType="end"/>
      </w:r>
    </w:p>
    <w:p>
      <w:pPr>
        <w:pStyle w:val="24"/>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"_Toc153186222" </w:instrText>
      </w:r>
      <w:r>
        <w:fldChar w:fldCharType="separate"/>
      </w:r>
      <w:r>
        <w:rPr>
          <w:rStyle w:val="39"/>
          <w:spacing w:val="100"/>
        </w:rPr>
        <w:t>附录A</w:t>
      </w:r>
      <w:r>
        <w:rPr>
          <w:rStyle w:val="39"/>
        </w:rPr>
        <w:t xml:space="preserve"> （规范性） 碳排放管理体系建设与评价指南的评价指标评分细则</w:t>
      </w:r>
      <w:r>
        <w:tab/>
      </w:r>
      <w:r>
        <w:fldChar w:fldCharType="begin"/>
      </w:r>
      <w:r>
        <w:instrText xml:space="preserve"> PAGEREF _Toc153186222 \h </w:instrText>
      </w:r>
      <w:r>
        <w:fldChar w:fldCharType="separate"/>
      </w:r>
      <w:r>
        <w:t>18</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"_Toc153186223" </w:instrText>
      </w:r>
      <w:r>
        <w:fldChar w:fldCharType="separate"/>
      </w:r>
      <w:r>
        <w:rPr>
          <w:rStyle w:val="39"/>
          <w:rFonts w:hAnsi="黑体" w:cs="黑体"/>
        </w:rPr>
        <w:t>A.1</w:t>
      </w:r>
      <w:r>
        <w:rPr>
          <w:rStyle w:val="39"/>
        </w:rPr>
        <w:t xml:space="preserve"> 定性评价指标评分细则</w:t>
      </w:r>
      <w:r>
        <w:tab/>
      </w:r>
      <w:r>
        <w:fldChar w:fldCharType="begin"/>
      </w:r>
      <w:r>
        <w:instrText xml:space="preserve"> PAGEREF _Toc153186223 \h </w:instrText>
      </w:r>
      <w:r>
        <w:fldChar w:fldCharType="separate"/>
      </w:r>
      <w:r>
        <w:t>18</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"_Toc153186224" </w:instrText>
      </w:r>
      <w:r>
        <w:fldChar w:fldCharType="separate"/>
      </w:r>
      <w:r>
        <w:rPr>
          <w:rStyle w:val="39"/>
        </w:rPr>
        <w:t>A.2 定量评价指标评分细则</w:t>
      </w:r>
      <w:r>
        <w:tab/>
      </w:r>
      <w:r>
        <w:fldChar w:fldCharType="begin"/>
      </w:r>
      <w:r>
        <w:instrText xml:space="preserve"> PAGEREF _Toc153186224 \h </w:instrText>
      </w:r>
      <w:r>
        <w:fldChar w:fldCharType="separate"/>
      </w:r>
      <w:r>
        <w:t>22</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"_Toc153186225" </w:instrText>
      </w:r>
      <w:r>
        <w:fldChar w:fldCharType="separate"/>
      </w:r>
      <w:r>
        <w:rPr>
          <w:rStyle w:val="39"/>
          <w:rFonts w:hAnsi="黑体" w:cs="黑体"/>
        </w:rPr>
        <w:t>A.3</w:t>
      </w:r>
      <w:r>
        <w:rPr>
          <w:rStyle w:val="39"/>
        </w:rPr>
        <w:t xml:space="preserve"> 评价指标计分权重</w:t>
      </w:r>
      <w:r>
        <w:tab/>
      </w:r>
      <w:r>
        <w:fldChar w:fldCharType="begin"/>
      </w:r>
      <w:r>
        <w:instrText xml:space="preserve"> PAGEREF _Toc153186225 \h </w:instrText>
      </w:r>
      <w:r>
        <w:fldChar w:fldCharType="separate"/>
      </w:r>
      <w:r>
        <w:t>22</w:t>
      </w:r>
      <w:r>
        <w:fldChar w:fldCharType="end"/>
      </w:r>
      <w:r>
        <w:fldChar w:fldCharType="end"/>
      </w:r>
    </w:p>
    <w:p>
      <w:pPr>
        <w:pStyle w:val="24"/>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"_Toc153186226" </w:instrText>
      </w:r>
      <w:r>
        <w:fldChar w:fldCharType="separate"/>
      </w:r>
      <w:r>
        <w:rPr>
          <w:rStyle w:val="39"/>
          <w:spacing w:val="100"/>
        </w:rPr>
        <w:t>附录B</w:t>
      </w:r>
      <w:r>
        <w:rPr>
          <w:rStyle w:val="39"/>
        </w:rPr>
        <w:t xml:space="preserve"> （资料性） 碳排放管理体系建设评价报告编写大纲及报告格式</w:t>
      </w:r>
      <w:r>
        <w:tab/>
      </w:r>
      <w:r>
        <w:fldChar w:fldCharType="begin"/>
      </w:r>
      <w:r>
        <w:instrText xml:space="preserve"> PAGEREF _Toc153186226 \h </w:instrText>
      </w:r>
      <w:r>
        <w:fldChar w:fldCharType="separate"/>
      </w:r>
      <w:r>
        <w:t>23</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"_Toc153186227" </w:instrText>
      </w:r>
      <w:r>
        <w:fldChar w:fldCharType="separate"/>
      </w:r>
      <w:r>
        <w:rPr>
          <w:rStyle w:val="39"/>
          <w:rFonts w:hAnsi="黑体" w:cs="黑体"/>
        </w:rPr>
        <w:t>B.1</w:t>
      </w:r>
      <w:r>
        <w:rPr>
          <w:rStyle w:val="39"/>
        </w:rPr>
        <w:t xml:space="preserve"> 报告正文编写提纲</w:t>
      </w:r>
      <w:r>
        <w:tab/>
      </w:r>
      <w:r>
        <w:fldChar w:fldCharType="begin"/>
      </w:r>
      <w:r>
        <w:instrText xml:space="preserve"> PAGEREF _Toc153186227 \h </w:instrText>
      </w:r>
      <w:r>
        <w:fldChar w:fldCharType="separate"/>
      </w:r>
      <w:r>
        <w:t>23</w:t>
      </w:r>
      <w:r>
        <w:fldChar w:fldCharType="end"/>
      </w:r>
      <w:r>
        <w:fldChar w:fldCharType="end"/>
      </w:r>
    </w:p>
    <w:p>
      <w:pPr>
        <w:pStyle w:val="29"/>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"_Toc153186230" </w:instrText>
      </w:r>
      <w:r>
        <w:fldChar w:fldCharType="separate"/>
      </w:r>
      <w:r>
        <w:rPr>
          <w:rStyle w:val="39"/>
          <w:rFonts w:hAnsi="黑体" w:cs="黑体"/>
        </w:rPr>
        <w:t>B.2</w:t>
      </w:r>
      <w:r>
        <w:rPr>
          <w:rStyle w:val="39"/>
        </w:rPr>
        <w:t xml:space="preserve"> 报告封面及扉页格式</w:t>
      </w:r>
      <w:r>
        <w:tab/>
      </w:r>
      <w:r>
        <w:fldChar w:fldCharType="begin"/>
      </w:r>
      <w:r>
        <w:instrText xml:space="preserve"> PAGEREF _Toc153186230 \h </w:instrText>
      </w:r>
      <w:r>
        <w:fldChar w:fldCharType="separate"/>
      </w:r>
      <w:r>
        <w:t>24</w:t>
      </w:r>
      <w:r>
        <w:fldChar w:fldCharType="end"/>
      </w:r>
      <w:r>
        <w:fldChar w:fldCharType="end"/>
      </w:r>
    </w:p>
    <w:p>
      <w:pPr>
        <w:pStyle w:val="24"/>
        <w:spacing w:line="240" w:lineRule="auto"/>
        <w:rPr>
          <w:rFonts w:hint="eastAsia" w:asciiTheme="minorHAnsi" w:hAnsiTheme="minorHAnsi" w:eastAsiaTheme="minorEastAsia" w:cstheme="minorBidi"/>
          <w14:ligatures w14:val="standardContextual"/>
        </w:rPr>
      </w:pPr>
      <w:r>
        <w:fldChar w:fldCharType="begin"/>
      </w:r>
      <w:r>
        <w:instrText xml:space="preserve"> HYPERLINK \l "_Toc153186231" </w:instrText>
      </w:r>
      <w:r>
        <w:fldChar w:fldCharType="separate"/>
      </w:r>
      <w:r>
        <w:rPr>
          <w:rStyle w:val="39"/>
        </w:rPr>
        <w:t>参考文献</w:t>
      </w:r>
      <w:r>
        <w:tab/>
      </w:r>
      <w:r>
        <w:fldChar w:fldCharType="begin"/>
      </w:r>
      <w:r>
        <w:instrText xml:space="preserve"> PAGEREF _Toc153186231 \h </w:instrText>
      </w:r>
      <w:r>
        <w:fldChar w:fldCharType="separate"/>
      </w:r>
      <w:r>
        <w:t>26</w:t>
      </w:r>
      <w:r>
        <w:fldChar w:fldCharType="end"/>
      </w:r>
      <w:r>
        <w:fldChar w:fldCharType="end"/>
      </w:r>
    </w:p>
    <w:p>
      <w:pPr>
        <w:pStyle w:val="99"/>
        <w:spacing w:before="0" w:after="0" w:afterLines="0"/>
        <w:jc w:val="both"/>
      </w:pPr>
      <w:r>
        <w:rPr>
          <w:sz w:val="21"/>
        </w:rPr>
        <w:fldChar w:fldCharType="end"/>
      </w:r>
      <w:bookmarkEnd w:id="0"/>
      <w:bookmarkEnd w:id="1"/>
      <w:bookmarkEnd w:id="2"/>
      <w:bookmarkEnd w:id="3"/>
      <w:bookmarkStart w:id="10" w:name="_Toc151493955"/>
      <w:bookmarkStart w:id="11" w:name="_Toc153186128"/>
      <w:bookmarkStart w:id="12" w:name="_Hlk151495685"/>
      <w:bookmarkStart w:id="13" w:name="BookMark2"/>
      <w:r>
        <w:br w:type="page"/>
      </w:r>
    </w:p>
    <w:p>
      <w:pPr>
        <w:pStyle w:val="99"/>
        <w:spacing w:after="468"/>
      </w:pPr>
      <w:r>
        <w:rPr>
          <w:spacing w:val="320"/>
        </w:rPr>
        <w:t>前</w:t>
      </w:r>
      <w:r>
        <w:t>言</w:t>
      </w:r>
      <w:bookmarkEnd w:id="10"/>
      <w:bookmarkEnd w:id="11"/>
    </w:p>
    <w:p>
      <w:pPr>
        <w:pStyle w:val="64"/>
        <w:ind w:firstLine="420" w:firstLineChars="200"/>
      </w:pPr>
      <w:r>
        <w:rPr>
          <w:rFonts w:hint="eastAsia"/>
        </w:rPr>
        <w:t>本文件按照GB/T 1.1—2020《标准化工作导则  第1部分：标准化文件的结构和起草规则》的规定起草。</w:t>
      </w:r>
    </w:p>
    <w:p>
      <w:pPr>
        <w:pStyle w:val="64"/>
        <w:ind w:firstLine="420" w:firstLineChars="200"/>
      </w:pPr>
      <w:r>
        <w:rPr>
          <w:rFonts w:hint="eastAsia"/>
        </w:rPr>
        <w:t>本文件由深圳市发展和改革委员会提出。</w:t>
      </w:r>
    </w:p>
    <w:p>
      <w:pPr>
        <w:pStyle w:val="64"/>
        <w:ind w:firstLine="420" w:firstLineChars="200"/>
      </w:pPr>
      <w:r>
        <w:rPr>
          <w:rFonts w:hint="eastAsia"/>
        </w:rPr>
        <w:t>本文件由深圳市发展和改革委员会归口。</w:t>
      </w:r>
      <w:r>
        <w:rPr>
          <w:rFonts w:hint="eastAsia"/>
        </w:rPr>
        <w:tab/>
      </w:r>
    </w:p>
    <w:p>
      <w:pPr>
        <w:pStyle w:val="64"/>
        <w:ind w:firstLine="420" w:firstLineChars="200"/>
      </w:pPr>
      <w:r>
        <w:rPr>
          <w:rFonts w:hint="eastAsia"/>
        </w:rPr>
        <w:t>本文件起草单位：</w:t>
      </w:r>
    </w:p>
    <w:p>
      <w:pPr>
        <w:pStyle w:val="64"/>
        <w:ind w:firstLine="420" w:firstLineChars="200"/>
      </w:pPr>
      <w:r>
        <w:rPr>
          <w:rFonts w:hint="eastAsia"/>
        </w:rPr>
        <w:t>本文件主要起草人：</w:t>
      </w:r>
    </w:p>
    <w:p>
      <w:r>
        <w:rPr>
          <w:rFonts w:hint="eastAsia"/>
        </w:rPr>
        <w:br w:type="page"/>
      </w:r>
    </w:p>
    <w:bookmarkEnd w:id="12"/>
    <w:p>
      <w:pPr>
        <w:pStyle w:val="97"/>
        <w:numPr>
          <w:ilvl w:val="0"/>
          <w:numId w:val="0"/>
        </w:numPr>
        <w:spacing w:after="468"/>
      </w:pPr>
      <w:bookmarkStart w:id="14" w:name="_Toc144924045"/>
      <w:bookmarkStart w:id="15" w:name="_Toc110619445"/>
      <w:bookmarkStart w:id="16" w:name="_Toc151493956"/>
      <w:bookmarkStart w:id="17" w:name="_Toc110619278"/>
      <w:bookmarkStart w:id="18" w:name="_Toc153186129"/>
      <w:r>
        <w:rPr>
          <w:spacing w:val="320"/>
        </w:rPr>
        <w:t>引</w:t>
      </w:r>
      <w:r>
        <w:t>言</w:t>
      </w:r>
      <w:bookmarkEnd w:id="14"/>
      <w:bookmarkEnd w:id="15"/>
      <w:bookmarkEnd w:id="16"/>
      <w:bookmarkEnd w:id="17"/>
      <w:bookmarkEnd w:id="18"/>
    </w:p>
    <w:p>
      <w:pPr>
        <w:pStyle w:val="112"/>
        <w:spacing w:before="312" w:after="312"/>
      </w:pPr>
      <w:bookmarkStart w:id="19" w:name="_Toc153186130"/>
      <w:r>
        <w:rPr>
          <w:rFonts w:hint="eastAsia"/>
        </w:rPr>
        <w:t>0.1总则</w:t>
      </w:r>
      <w:bookmarkEnd w:id="19"/>
    </w:p>
    <w:p>
      <w:pPr>
        <w:pStyle w:val="64"/>
        <w:ind w:firstLine="420" w:firstLineChars="200"/>
      </w:pPr>
      <w:r>
        <w:rPr>
          <w:rFonts w:hint="eastAsia"/>
        </w:rPr>
        <w:t>为贯彻落实中共中央 《国务院关于完整准确全面贯彻新发展理念做好碳达峰碳中和工作的意见》 （中发〔2021〕36号）、《2030年前碳达峰行动方案》（国发〔2021〕23号）、《加快构建碳排放双控制度体系工作方案》（国办发〔2024〕39号）、《碳达峰碳中和标准体系建设指南》（国标委联〔2023〕19号）等文件关于健全法律法规标准，建立企业绿色低碳评价标准、管理体系及实施评价等通用标准要求，制定本文件。</w:t>
      </w:r>
    </w:p>
    <w:p>
      <w:pPr>
        <w:pStyle w:val="64"/>
        <w:ind w:firstLine="420" w:firstLineChars="200"/>
      </w:pPr>
      <w:r>
        <w:rPr>
          <w:rFonts w:hint="eastAsia"/>
        </w:rPr>
        <w:t>本文件旨在帮助组织建立碳排放管理体系与碳排放绩效评价，包括组织所处的环境、基本要求、领导作用、策划、支持、运行、绩效评价、改进、评价指标体系。</w:t>
      </w:r>
    </w:p>
    <w:p>
      <w:pPr>
        <w:pStyle w:val="64"/>
        <w:ind w:firstLine="420" w:firstLineChars="200"/>
      </w:pPr>
      <w:r>
        <w:rPr>
          <w:rFonts w:hint="eastAsia"/>
        </w:rPr>
        <w:t>本文件适用于深圳市（含深汕特别合作区）行政区域内计划或正在开展各项碳排放管理工作的行政机关、企事业单位、其他社会组织和团体组织，为组织开展碳排放管理体系建设与评价提供流程指引、工作方法及标准依据。</w:t>
      </w:r>
    </w:p>
    <w:p>
      <w:pPr>
        <w:pStyle w:val="112"/>
        <w:spacing w:before="312" w:after="312"/>
      </w:pPr>
      <w:bookmarkStart w:id="20" w:name="_Toc153186131"/>
      <w:r>
        <w:rPr>
          <w:rFonts w:hint="eastAsia"/>
        </w:rPr>
        <w:t>0.2碳排放绩效评价方法</w:t>
      </w:r>
      <w:bookmarkEnd w:id="20"/>
    </w:p>
    <w:p>
      <w:pPr>
        <w:pStyle w:val="64"/>
        <w:ind w:firstLine="420" w:firstLineChars="200"/>
      </w:pPr>
      <w:r>
        <w:rPr>
          <w:rFonts w:hint="eastAsia"/>
        </w:rPr>
        <w:t>在本文件指导下明确组织碳排放绩效评价方法和成熟度等级判定方法。</w:t>
      </w:r>
    </w:p>
    <w:p>
      <w:pPr>
        <w:pStyle w:val="64"/>
        <w:ind w:firstLine="420" w:firstLineChars="200"/>
      </w:pPr>
      <w:r>
        <w:rPr>
          <w:rFonts w:hint="eastAsia"/>
        </w:rPr>
        <w:t>先通过策划组织自身的碳排放评估，获取组织碳排放有效信息，再根据碳排放评估结果确立并使用基准年碳排放绩效和碳排放绩效参数，测量并量化组织的碳排放绩效变化，从而对其碳排放绩效进行有效管理。</w:t>
      </w:r>
    </w:p>
    <w:p>
      <w:pPr>
        <w:pStyle w:val="64"/>
        <w:ind w:firstLine="420" w:firstLineChars="200"/>
      </w:pPr>
      <w:r>
        <w:rPr>
          <w:rFonts w:hint="eastAsia"/>
        </w:rPr>
        <w:t>碳排放绩效受组织定性部分和定量部分的因素影响，本文件定性部分共7个一级指标30个二级指标，定量部分指标为组织碳排放强度的数值。根据评价指标计分权重公式得出综合得分，综合得分以百分制计。成熟度评价结果依据综合得分分数判定，共分为一星、二星和三星三个等级。</w:t>
      </w:r>
    </w:p>
    <w:p>
      <w:pPr>
        <w:pStyle w:val="112"/>
        <w:spacing w:before="312" w:after="312"/>
      </w:pPr>
      <w:bookmarkStart w:id="21" w:name="_Toc153186132"/>
      <w:r>
        <w:rPr>
          <w:rFonts w:hint="eastAsia"/>
        </w:rPr>
        <w:t>0.3本文件的益处</w:t>
      </w:r>
      <w:bookmarkEnd w:id="21"/>
    </w:p>
    <w:p>
      <w:pPr>
        <w:pStyle w:val="64"/>
        <w:ind w:firstLine="420" w:firstLineChars="200"/>
        <w:sectPr>
          <w:footerReference r:id="rId11" w:type="default"/>
          <w:headerReference r:id="rId10" w:type="even"/>
          <w:footerReference r:id="rId12" w:type="even"/>
          <w:pgSz w:w="11905" w:h="16838"/>
          <w:pgMar w:top="1928" w:right="1134" w:bottom="1134" w:left="1134" w:header="1417" w:footer="1134" w:gutter="283"/>
          <w:pgNumType w:fmt="upperRoman" w:start="1"/>
          <w:cols w:space="0" w:num="1"/>
          <w:formProt w:val="0"/>
          <w:docGrid w:type="lines" w:linePitch="312" w:charSpace="0"/>
        </w:sectPr>
      </w:pPr>
      <w:r>
        <w:rPr>
          <w:rFonts w:hint="eastAsia"/>
        </w:rPr>
        <w:t>本文件的有效实施，提供了评级与改进碳排放绩效的系统方法，促进组织碳排放管理方式的转变。通过将碳排放管理融入业务过程，组织能够建设、管理、保持和持续改进碳排放管理体系，从而改进碳排放绩效和降低相关的碳排放成本，使组织更具竞争力。本文件可指导组织开展碳排放绩效评价并提供评分细则打分表。此外，实施本文件能够减少组织碳排放，使其为满足减缓气候变化的总体目标做出贡献。</w:t>
      </w:r>
    </w:p>
    <w:bookmarkEnd w:id="13"/>
    <w:sdt>
      <w:sdtPr>
        <w:tag w:val="NEW_STAND_NAME"/>
        <w:id w:val="595910757"/>
        <w:lock w:val="sdtLocked"/>
        <w:placeholder>
          <w:docPart w:val="D62EA7D66A31440DA48B8C013315E1E1"/>
        </w:placeholder>
      </w:sdtPr>
      <w:sdtContent>
        <w:p>
          <w:pPr>
            <w:pStyle w:val="185"/>
            <w:spacing w:before="312" w:beforeLines="100" w:after="686" w:afterLines="220"/>
            <w:rPr>
              <w:rFonts w:hint="eastAsia"/>
            </w:rPr>
          </w:pPr>
          <w:bookmarkStart w:id="22" w:name="NEW_STAND_NAME"/>
          <w:bookmarkStart w:id="23" w:name="BookMark4"/>
          <w:r>
            <w:rPr>
              <w:rFonts w:hint="eastAsia"/>
            </w:rPr>
            <w:t>碳排放管理体系建设与评价指南</w:t>
          </w:r>
        </w:p>
      </w:sdtContent>
    </w:sdt>
    <w:bookmarkEnd w:id="22"/>
    <w:p>
      <w:pPr>
        <w:pStyle w:val="112"/>
        <w:numPr>
          <w:ilvl w:val="0"/>
          <w:numId w:val="33"/>
        </w:numPr>
        <w:spacing w:before="312" w:after="312"/>
        <w:ind w:left="0"/>
      </w:pPr>
      <w:bookmarkStart w:id="24" w:name="_Toc110619446"/>
      <w:bookmarkStart w:id="25" w:name="_Toc144924046"/>
      <w:bookmarkStart w:id="26" w:name="_Toc151493957"/>
      <w:bookmarkStart w:id="27" w:name="_Toc153186133"/>
      <w:bookmarkStart w:id="28" w:name="_Toc97191423"/>
      <w:bookmarkStart w:id="29" w:name="_Toc26648465"/>
      <w:bookmarkStart w:id="30" w:name="_Toc26986530"/>
      <w:bookmarkStart w:id="31" w:name="_Toc17233325"/>
      <w:bookmarkStart w:id="32" w:name="_Toc24884218"/>
      <w:bookmarkStart w:id="33" w:name="_Toc110619279"/>
      <w:bookmarkStart w:id="34" w:name="_Toc26718930"/>
      <w:bookmarkStart w:id="35" w:name="_Toc24884211"/>
      <w:bookmarkStart w:id="36" w:name="_Toc17233333"/>
      <w:bookmarkStart w:id="37" w:name="_Toc26986771"/>
      <w:r>
        <w:rPr>
          <w:rFonts w:hint="eastAsia"/>
        </w:rPr>
        <w:t>范围</w:t>
      </w:r>
      <w:bookmarkEnd w:id="24"/>
      <w:bookmarkEnd w:id="25"/>
      <w:bookmarkEnd w:id="26"/>
      <w:bookmarkEnd w:id="27"/>
      <w:bookmarkEnd w:id="28"/>
      <w:bookmarkEnd w:id="29"/>
      <w:bookmarkEnd w:id="30"/>
      <w:bookmarkEnd w:id="31"/>
      <w:bookmarkEnd w:id="32"/>
      <w:bookmarkEnd w:id="33"/>
      <w:bookmarkEnd w:id="34"/>
      <w:bookmarkEnd w:id="35"/>
      <w:bookmarkEnd w:id="36"/>
      <w:bookmarkEnd w:id="37"/>
    </w:p>
    <w:p>
      <w:pPr>
        <w:pStyle w:val="64"/>
        <w:autoSpaceDE/>
        <w:autoSpaceDN/>
        <w:adjustRightInd w:val="0"/>
        <w:ind w:firstLine="420" w:firstLineChars="200"/>
      </w:pPr>
      <w:bookmarkStart w:id="38" w:name="_Hlk151510501"/>
      <w:bookmarkStart w:id="39" w:name="_Toc17233334"/>
      <w:bookmarkStart w:id="40" w:name="_Toc17233326"/>
      <w:bookmarkStart w:id="41" w:name="_Toc26648466"/>
      <w:bookmarkStart w:id="42" w:name="_Toc24884219"/>
      <w:bookmarkStart w:id="43" w:name="_Toc24884212"/>
      <w:r>
        <w:rPr>
          <w:rFonts w:hint="eastAsia"/>
        </w:rPr>
        <w:t>本文件规定了组织开展碳排放管理体系建设与碳排放绩效评价组织所处的环境、基本要求、领导作用、策划、支持、运行、绩效评价、改进、评价指标体系。</w:t>
      </w:r>
    </w:p>
    <w:p>
      <w:pPr>
        <w:pStyle w:val="64"/>
        <w:autoSpaceDE/>
        <w:autoSpaceDN/>
        <w:adjustRightInd w:val="0"/>
        <w:ind w:firstLine="420" w:firstLineChars="200"/>
      </w:pPr>
      <w:r>
        <w:rPr>
          <w:rFonts w:hint="eastAsia"/>
        </w:rPr>
        <w:t>本文件适用于组织碳排放管理体系建设与评价。</w:t>
      </w:r>
      <w:bookmarkEnd w:id="38"/>
    </w:p>
    <w:p>
      <w:pPr>
        <w:pStyle w:val="112"/>
        <w:numPr>
          <w:ilvl w:val="0"/>
          <w:numId w:val="33"/>
        </w:numPr>
        <w:spacing w:before="312" w:after="312"/>
        <w:ind w:left="0"/>
      </w:pPr>
      <w:bookmarkStart w:id="44" w:name="_Toc110619280"/>
      <w:bookmarkStart w:id="45" w:name="_Toc26718931"/>
      <w:bookmarkStart w:id="46" w:name="_Toc151493958"/>
      <w:bookmarkStart w:id="47" w:name="_Toc26986772"/>
      <w:bookmarkStart w:id="48" w:name="_Toc97191424"/>
      <w:bookmarkStart w:id="49" w:name="_Toc26986531"/>
      <w:bookmarkStart w:id="50" w:name="_Toc110619447"/>
      <w:bookmarkStart w:id="51" w:name="_Toc144924047"/>
      <w:bookmarkStart w:id="52" w:name="_Toc153186134"/>
      <w:r>
        <w:rPr>
          <w:rFonts w:hint="eastAsia"/>
        </w:rPr>
        <w:t>规范性引用文件</w:t>
      </w:r>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64"/>
        <w:autoSpaceDE/>
        <w:autoSpaceDN/>
        <w:adjustRightInd w:val="0"/>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64"/>
        <w:autoSpaceDE/>
        <w:autoSpaceDN/>
        <w:adjustRightInd w:val="0"/>
        <w:ind w:firstLine="420" w:firstLineChars="200"/>
      </w:pPr>
      <w:bookmarkStart w:id="53" w:name="_Hlk146269447"/>
      <w:bookmarkStart w:id="54" w:name="_Hlk130474914"/>
      <w:bookmarkStart w:id="55" w:name="_Hlk128412841"/>
      <w:r>
        <w:t>GB/T 19273-2003</w:t>
      </w:r>
      <w:r>
        <w:rPr>
          <w:rFonts w:hint="eastAsia"/>
        </w:rPr>
        <w:t xml:space="preserve"> </w:t>
      </w:r>
      <w:r>
        <w:t xml:space="preserve"> 企业标准体系 评价与改进</w:t>
      </w:r>
    </w:p>
    <w:p>
      <w:pPr>
        <w:pStyle w:val="64"/>
        <w:autoSpaceDE/>
        <w:autoSpaceDN/>
        <w:adjustRightInd w:val="0"/>
        <w:ind w:firstLine="420" w:firstLineChars="200"/>
      </w:pPr>
      <w:r>
        <w:t>GB/T 23331-2020</w:t>
      </w:r>
      <w:r>
        <w:rPr>
          <w:rFonts w:hint="eastAsia"/>
        </w:rPr>
        <w:t xml:space="preserve"> </w:t>
      </w:r>
      <w:r>
        <w:t xml:space="preserve"> </w:t>
      </w:r>
      <w:r>
        <w:rPr>
          <w:rFonts w:hint="eastAsia"/>
        </w:rPr>
        <w:t>能源管理体系</w:t>
      </w:r>
      <w:r>
        <w:t xml:space="preserve"> </w:t>
      </w:r>
      <w:r>
        <w:rPr>
          <w:rFonts w:hint="eastAsia"/>
        </w:rPr>
        <w:t>要求及使用指南</w:t>
      </w:r>
    </w:p>
    <w:p>
      <w:pPr>
        <w:pStyle w:val="64"/>
        <w:autoSpaceDE/>
        <w:autoSpaceDN/>
        <w:adjustRightInd w:val="0"/>
        <w:ind w:firstLine="420" w:firstLineChars="200"/>
      </w:pPr>
      <w:r>
        <w:t>GB/T 24001-2016</w:t>
      </w:r>
      <w:r>
        <w:rPr>
          <w:rFonts w:hint="eastAsia"/>
        </w:rPr>
        <w:t xml:space="preserve"> </w:t>
      </w:r>
      <w:r>
        <w:t xml:space="preserve"> </w:t>
      </w:r>
      <w:r>
        <w:rPr>
          <w:rFonts w:hint="eastAsia"/>
        </w:rPr>
        <w:t>环境管理体系</w:t>
      </w:r>
      <w:r>
        <w:t xml:space="preserve"> </w:t>
      </w:r>
      <w:r>
        <w:rPr>
          <w:rFonts w:hint="eastAsia"/>
        </w:rPr>
        <w:t>要求及使用指南</w:t>
      </w:r>
    </w:p>
    <w:p>
      <w:pPr>
        <w:pStyle w:val="64"/>
        <w:autoSpaceDE/>
        <w:autoSpaceDN/>
        <w:adjustRightInd w:val="0"/>
        <w:ind w:firstLine="420" w:firstLineChars="200"/>
      </w:pPr>
      <w:r>
        <w:rPr>
          <w:rFonts w:hint="eastAsia"/>
        </w:rPr>
        <w:t>GB/T 32150-2015  工业企业温室气体排放核算和报告通则</w:t>
      </w:r>
    </w:p>
    <w:p>
      <w:pPr>
        <w:pStyle w:val="64"/>
        <w:autoSpaceDE/>
        <w:autoSpaceDN/>
        <w:adjustRightInd w:val="0"/>
        <w:ind w:firstLine="420" w:firstLineChars="200"/>
      </w:pPr>
      <w:r>
        <w:t>JR/T 0244—2022</w:t>
      </w:r>
      <w:r>
        <w:rPr>
          <w:rFonts w:hint="eastAsia"/>
        </w:rPr>
        <w:t xml:space="preserve"> </w:t>
      </w:r>
      <w:r>
        <w:t xml:space="preserve"> </w:t>
      </w:r>
      <w:r>
        <w:rPr>
          <w:rFonts w:hint="eastAsia"/>
        </w:rPr>
        <w:t>碳金融产品</w:t>
      </w:r>
    </w:p>
    <w:bookmarkEnd w:id="53"/>
    <w:bookmarkEnd w:id="54"/>
    <w:bookmarkEnd w:id="55"/>
    <w:p>
      <w:pPr>
        <w:pStyle w:val="112"/>
        <w:numPr>
          <w:ilvl w:val="0"/>
          <w:numId w:val="33"/>
        </w:numPr>
        <w:spacing w:before="312" w:after="312"/>
        <w:ind w:left="0"/>
      </w:pPr>
      <w:bookmarkStart w:id="56" w:name="_Toc151493959"/>
      <w:bookmarkStart w:id="57" w:name="_Toc110619448"/>
      <w:bookmarkStart w:id="58" w:name="_Toc153186135"/>
      <w:bookmarkStart w:id="59" w:name="_Toc97191425"/>
      <w:bookmarkStart w:id="60" w:name="_Toc110619281"/>
      <w:bookmarkStart w:id="61" w:name="_Toc144924048"/>
      <w:r>
        <w:rPr>
          <w:rFonts w:hint="eastAsia"/>
        </w:rPr>
        <w:t>术语及定义</w:t>
      </w:r>
      <w:bookmarkEnd w:id="56"/>
      <w:bookmarkEnd w:id="57"/>
      <w:bookmarkEnd w:id="58"/>
      <w:bookmarkEnd w:id="59"/>
      <w:bookmarkEnd w:id="60"/>
      <w:bookmarkEnd w:id="61"/>
    </w:p>
    <w:sdt>
      <w:sdtPr>
        <w:id w:val="-1909835108"/>
        <w:placeholder>
          <w:docPart w:val="35CA5F3C17B548DCA4AE54FE999D592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64"/>
            <w:autoSpaceDE/>
            <w:autoSpaceDN/>
            <w:adjustRightInd w:val="0"/>
            <w:ind w:firstLine="420" w:firstLineChars="200"/>
          </w:pPr>
          <w:bookmarkStart w:id="62" w:name="_Toc26986532"/>
          <w:bookmarkEnd w:id="62"/>
          <w:r>
            <w:rPr>
              <w:rFonts w:hint="eastAsia"/>
            </w:rPr>
            <w:t>下列术语和定义适用于本文件。</w:t>
          </w:r>
        </w:p>
      </w:sdtContent>
    </w:sdt>
    <w:p>
      <w:pPr>
        <w:pStyle w:val="297"/>
        <w:numPr>
          <w:ilvl w:val="1"/>
          <w:numId w:val="33"/>
        </w:numPr>
        <w:spacing w:beforeLines="0" w:afterLines="0"/>
      </w:pPr>
      <w:bookmarkStart w:id="63" w:name="_Toc152786081"/>
      <w:bookmarkStart w:id="64" w:name="_Toc152871404"/>
      <w:bookmarkStart w:id="65" w:name="_Toc153186136"/>
      <w:bookmarkStart w:id="66" w:name="_Toc152919791"/>
      <w:bookmarkStart w:id="67" w:name="_Toc152871505"/>
      <w:bookmarkStart w:id="68" w:name="_Hlk146269599"/>
      <w:r>
        <w:rPr>
          <w:rFonts w:hint="eastAsia"/>
        </w:rPr>
        <w:t>与体系建设和管理有关的术语</w:t>
      </w:r>
      <w:bookmarkEnd w:id="63"/>
      <w:bookmarkEnd w:id="64"/>
      <w:bookmarkEnd w:id="65"/>
      <w:bookmarkEnd w:id="66"/>
      <w:bookmarkEnd w:id="67"/>
    </w:p>
    <w:p>
      <w:pPr>
        <w:pStyle w:val="288"/>
        <w:numPr>
          <w:ilvl w:val="2"/>
          <w:numId w:val="33"/>
        </w:numPr>
        <w:spacing w:line="240" w:lineRule="auto"/>
      </w:pPr>
      <w:bookmarkStart w:id="69" w:name="_Toc144924049"/>
      <w:bookmarkStart w:id="70" w:name="_Hlk113265116"/>
    </w:p>
    <w:p>
      <w:pPr>
        <w:pStyle w:val="73"/>
        <w:ind w:left="420"/>
        <w:outlineLvl w:val="9"/>
      </w:pPr>
      <w:bookmarkStart w:id="71" w:name="_Toc151494447"/>
      <w:bookmarkStart w:id="72" w:name="_Toc152871506"/>
      <w:bookmarkStart w:id="73" w:name="_Toc152786082"/>
      <w:bookmarkStart w:id="74" w:name="_Toc151493961"/>
      <w:bookmarkStart w:id="75" w:name="_Toc152871168"/>
      <w:bookmarkStart w:id="76" w:name="_Toc152919792"/>
      <w:bookmarkStart w:id="77" w:name="_Toc153186137"/>
      <w:bookmarkStart w:id="78" w:name="_Toc152871405"/>
      <w:r>
        <w:rPr>
          <w:rFonts w:hint="eastAsia"/>
        </w:rPr>
        <w:t>组织 organization</w:t>
      </w:r>
      <w:bookmarkEnd w:id="69"/>
      <w:bookmarkEnd w:id="71"/>
      <w:bookmarkEnd w:id="72"/>
      <w:bookmarkEnd w:id="73"/>
      <w:bookmarkEnd w:id="74"/>
      <w:bookmarkEnd w:id="75"/>
      <w:bookmarkEnd w:id="76"/>
      <w:bookmarkEnd w:id="77"/>
      <w:bookmarkEnd w:id="78"/>
    </w:p>
    <w:p>
      <w:pPr>
        <w:pStyle w:val="15"/>
        <w:spacing w:after="0" w:line="240" w:lineRule="auto"/>
        <w:ind w:firstLine="420" w:firstLineChars="200"/>
        <w:rPr>
          <w:rFonts w:ascii="Times New Roman" w:hAnsi="Times New Roman"/>
        </w:rPr>
      </w:pPr>
      <w:r>
        <w:rPr>
          <w:rFonts w:hint="eastAsia" w:ascii="Times New Roman" w:hAnsi="Times New Roman"/>
        </w:rPr>
        <w:t>为实现碳排放管理目标，由职责、权限和相互关系构成自身功能的一组人。</w:t>
      </w:r>
    </w:p>
    <w:p>
      <w:pPr>
        <w:pStyle w:val="187"/>
        <w:numPr>
          <w:ilvl w:val="0"/>
          <w:numId w:val="0"/>
        </w:numPr>
        <w:autoSpaceDE/>
        <w:autoSpaceDN/>
        <w:adjustRightInd w:val="0"/>
        <w:ind w:left="717" w:leftChars="170" w:hanging="360" w:hangingChars="200"/>
      </w:pPr>
      <w:r>
        <w:rPr>
          <w:rFonts w:ascii="黑体" w:eastAsia="黑体"/>
        </w:rPr>
        <w:t>注：</w:t>
      </w:r>
      <w:r>
        <w:rPr>
          <w:rFonts w:hint="eastAsia"/>
        </w:rPr>
        <w:t>组织包括但不限于个体经营者、公司、集团公司、商行、企事业单位、政府机构、合股经营的公司、公益机构、社团，或上述单位中的一部分或结合体，无论其是否有法人资格、公营或私营。</w:t>
      </w:r>
    </w:p>
    <w:p>
      <w:pPr>
        <w:pStyle w:val="15"/>
        <w:spacing w:after="0" w:line="240" w:lineRule="auto"/>
        <w:ind w:firstLine="420" w:firstLineChars="200"/>
        <w:rPr>
          <w:rFonts w:hint="eastAsia" w:ascii="宋体" w:hAnsi="宋体" w:cs="宋体"/>
        </w:rPr>
      </w:pPr>
      <w:r>
        <w:rPr>
          <w:rFonts w:hint="eastAsia" w:ascii="宋体" w:hAnsi="宋体" w:cs="宋体"/>
        </w:rPr>
        <w:t>[来源：GB/T 23331-2020，3.1.1，有修改]</w:t>
      </w:r>
      <w:bookmarkStart w:id="79" w:name="_Toc152786083"/>
      <w:bookmarkEnd w:id="79"/>
      <w:bookmarkStart w:id="80" w:name="_Toc152871406"/>
      <w:bookmarkEnd w:id="80"/>
      <w:bookmarkStart w:id="81" w:name="_Toc151494448"/>
      <w:bookmarkEnd w:id="81"/>
      <w:bookmarkStart w:id="82" w:name="_Toc152871169"/>
      <w:bookmarkEnd w:id="82"/>
      <w:bookmarkStart w:id="83" w:name="_Toc151493962"/>
      <w:bookmarkEnd w:id="83"/>
      <w:bookmarkStart w:id="84" w:name="_Toc152919793"/>
      <w:bookmarkEnd w:id="84"/>
      <w:bookmarkStart w:id="85" w:name="_Toc153186138"/>
      <w:bookmarkEnd w:id="85"/>
      <w:bookmarkStart w:id="86" w:name="_Toc152871507"/>
      <w:bookmarkEnd w:id="86"/>
      <w:bookmarkStart w:id="87" w:name="_Toc144924050"/>
    </w:p>
    <w:p>
      <w:pPr>
        <w:pStyle w:val="288"/>
        <w:numPr>
          <w:ilvl w:val="2"/>
          <w:numId w:val="33"/>
        </w:numPr>
        <w:tabs>
          <w:tab w:val="left" w:pos="839"/>
        </w:tabs>
        <w:spacing w:line="240" w:lineRule="auto"/>
      </w:pPr>
    </w:p>
    <w:p>
      <w:pPr>
        <w:pStyle w:val="288"/>
        <w:numPr>
          <w:ilvl w:val="2"/>
          <w:numId w:val="0"/>
        </w:numPr>
        <w:tabs>
          <w:tab w:val="left" w:pos="839"/>
        </w:tabs>
        <w:spacing w:line="240" w:lineRule="auto"/>
        <w:ind w:firstLine="420" w:firstLineChars="200"/>
        <w:rPr>
          <w:rFonts w:ascii="黑体" w:eastAsia="黑体"/>
          <w:b w:val="0"/>
          <w:bCs w:val="0"/>
          <w:sz w:val="21"/>
        </w:rPr>
      </w:pPr>
      <w:bookmarkStart w:id="88" w:name="_Toc152786084"/>
      <w:bookmarkStart w:id="89" w:name="_Toc151493963"/>
      <w:bookmarkStart w:id="90" w:name="_Toc152919794"/>
      <w:bookmarkStart w:id="91" w:name="_Toc151494449"/>
      <w:bookmarkStart w:id="92" w:name="_Toc152871407"/>
      <w:bookmarkStart w:id="93" w:name="_Toc153186139"/>
      <w:bookmarkStart w:id="94" w:name="_Toc152871508"/>
      <w:bookmarkStart w:id="95" w:name="_Toc152871170"/>
      <w:r>
        <w:rPr>
          <w:rFonts w:hint="eastAsia" w:ascii="黑体" w:eastAsia="黑体"/>
          <w:b w:val="0"/>
          <w:bCs w:val="0"/>
          <w:sz w:val="21"/>
        </w:rPr>
        <w:t>最高管理者 top management</w:t>
      </w:r>
      <w:bookmarkEnd w:id="88"/>
      <w:bookmarkEnd w:id="89"/>
      <w:bookmarkEnd w:id="90"/>
      <w:bookmarkEnd w:id="91"/>
      <w:bookmarkEnd w:id="92"/>
      <w:bookmarkEnd w:id="93"/>
      <w:bookmarkEnd w:id="94"/>
      <w:bookmarkEnd w:id="95"/>
    </w:p>
    <w:p>
      <w:pPr>
        <w:pStyle w:val="15"/>
        <w:spacing w:after="0" w:line="240" w:lineRule="auto"/>
        <w:ind w:firstLine="420" w:firstLineChars="200"/>
      </w:pPr>
      <w:r>
        <w:rPr>
          <w:rFonts w:hint="eastAsia"/>
        </w:rPr>
        <w:t>在最高层指挥并控制组织的一个人或一组人。</w:t>
      </w:r>
    </w:p>
    <w:p>
      <w:pPr>
        <w:pStyle w:val="15"/>
        <w:widowControl/>
        <w:spacing w:after="0" w:line="240" w:lineRule="auto"/>
        <w:ind w:firstLine="420" w:firstLineChars="200"/>
        <w:rPr>
          <w:rFonts w:ascii="黑体" w:hAnsi="Times New Roman" w:eastAsia="黑体"/>
        </w:rPr>
      </w:pPr>
      <w:r>
        <w:rPr>
          <w:rFonts w:hint="eastAsia" w:ascii="宋体" w:hAnsi="宋体" w:cs="宋体"/>
        </w:rPr>
        <w:t>[来源：</w:t>
      </w:r>
      <w:r>
        <w:rPr>
          <w:rFonts w:hint="eastAsia" w:ascii="宋体" w:hAnsi="宋体" w:cs="宋体"/>
          <w:color w:val="000000" w:themeColor="text1"/>
          <w14:textFill>
            <w14:solidFill>
              <w14:schemeClr w14:val="tx1"/>
            </w14:solidFill>
          </w14:textFill>
        </w:rPr>
        <w:t>GB/T 23331-2020</w:t>
      </w:r>
      <w:r>
        <w:rPr>
          <w:rFonts w:hint="eastAsia" w:ascii="宋体" w:hAnsi="宋体" w:cs="宋体"/>
        </w:rPr>
        <w:t>，3.1.2，有修改]</w:t>
      </w:r>
      <w:bookmarkStart w:id="96" w:name="_Toc152871509"/>
      <w:bookmarkEnd w:id="96"/>
      <w:bookmarkStart w:id="97" w:name="_Toc153186140"/>
      <w:bookmarkEnd w:id="97"/>
      <w:bookmarkStart w:id="98" w:name="_Toc152871408"/>
      <w:bookmarkEnd w:id="98"/>
      <w:bookmarkStart w:id="99" w:name="_Toc152919795"/>
      <w:bookmarkEnd w:id="99"/>
      <w:bookmarkStart w:id="100" w:name="_Toc151494450"/>
      <w:bookmarkEnd w:id="100"/>
      <w:bookmarkStart w:id="101" w:name="_Toc151493964"/>
      <w:bookmarkEnd w:id="101"/>
      <w:bookmarkStart w:id="102" w:name="_Toc152871171"/>
      <w:bookmarkEnd w:id="102"/>
      <w:bookmarkStart w:id="103" w:name="_Toc152786085"/>
      <w:bookmarkEnd w:id="103"/>
      <w:r>
        <w:rPr>
          <w:rFonts w:hint="eastAsia" w:ascii="黑体" w:hAnsi="Times New Roman" w:eastAsia="黑体"/>
        </w:rPr>
        <w:tab/>
      </w:r>
    </w:p>
    <w:p>
      <w:pPr>
        <w:pStyle w:val="288"/>
        <w:numPr>
          <w:ilvl w:val="2"/>
          <w:numId w:val="33"/>
        </w:numPr>
        <w:tabs>
          <w:tab w:val="left" w:pos="839"/>
        </w:tabs>
        <w:spacing w:line="240" w:lineRule="auto"/>
      </w:pPr>
      <w:bookmarkStart w:id="104" w:name="_Toc151494451"/>
      <w:bookmarkStart w:id="105" w:name="_Toc152871510"/>
      <w:bookmarkStart w:id="106" w:name="_Toc151493965"/>
      <w:bookmarkStart w:id="107" w:name="_Toc152871409"/>
      <w:bookmarkStart w:id="108" w:name="_Toc152871172"/>
      <w:bookmarkStart w:id="109" w:name="_Toc153186141"/>
      <w:bookmarkStart w:id="110" w:name="_Toc152786086"/>
      <w:bookmarkStart w:id="111" w:name="_Toc152919796"/>
    </w:p>
    <w:p>
      <w:pPr>
        <w:pStyle w:val="288"/>
        <w:numPr>
          <w:ilvl w:val="2"/>
          <w:numId w:val="0"/>
        </w:numPr>
        <w:tabs>
          <w:tab w:val="left" w:pos="839"/>
        </w:tabs>
        <w:spacing w:line="240" w:lineRule="auto"/>
        <w:ind w:firstLine="420" w:firstLineChars="200"/>
        <w:rPr>
          <w:rFonts w:ascii="黑体" w:eastAsia="黑体"/>
          <w:b w:val="0"/>
          <w:bCs w:val="0"/>
          <w:sz w:val="21"/>
        </w:rPr>
      </w:pPr>
      <w:r>
        <w:rPr>
          <w:rFonts w:hint="eastAsia" w:ascii="黑体" w:eastAsia="黑体"/>
          <w:b w:val="0"/>
          <w:bCs w:val="0"/>
          <w:sz w:val="21"/>
        </w:rPr>
        <w:t>相关方 interested party</w:t>
      </w:r>
      <w:bookmarkEnd w:id="87"/>
      <w:bookmarkEnd w:id="104"/>
      <w:bookmarkEnd w:id="105"/>
      <w:bookmarkEnd w:id="106"/>
      <w:bookmarkEnd w:id="107"/>
      <w:bookmarkEnd w:id="108"/>
      <w:bookmarkEnd w:id="109"/>
      <w:bookmarkEnd w:id="110"/>
      <w:bookmarkEnd w:id="111"/>
    </w:p>
    <w:p>
      <w:pPr>
        <w:pStyle w:val="288"/>
        <w:numPr>
          <w:ilvl w:val="2"/>
          <w:numId w:val="0"/>
        </w:numPr>
        <w:tabs>
          <w:tab w:val="left" w:pos="839"/>
        </w:tabs>
        <w:spacing w:line="240" w:lineRule="auto"/>
        <w:ind w:firstLine="420" w:firstLineChars="200"/>
        <w:rPr>
          <w:rFonts w:ascii="黑体" w:eastAsia="黑体"/>
          <w:b w:val="0"/>
          <w:bCs w:val="0"/>
          <w:sz w:val="21"/>
        </w:rPr>
      </w:pPr>
      <w:r>
        <w:rPr>
          <w:rFonts w:hint="eastAsia" w:ascii="黑体" w:eastAsia="黑体"/>
          <w:b w:val="0"/>
          <w:bCs w:val="0"/>
          <w:sz w:val="21"/>
        </w:rPr>
        <w:t>利益相关方 stakeholder</w:t>
      </w:r>
    </w:p>
    <w:p>
      <w:pPr>
        <w:pStyle w:val="15"/>
        <w:spacing w:after="0" w:line="240" w:lineRule="auto"/>
        <w:ind w:firstLine="420" w:firstLineChars="200"/>
      </w:pPr>
      <w:r>
        <w:rPr>
          <w:rFonts w:hint="eastAsia"/>
        </w:rPr>
        <w:t>能够影响决策或活动、受决策或活动影响，或感觉自身受到决策或活动影响的个人或组织。</w:t>
      </w:r>
    </w:p>
    <w:p>
      <w:pPr>
        <w:pStyle w:val="189"/>
        <w:adjustRightInd w:val="0"/>
        <w:ind w:firstLine="360" w:firstLineChars="200"/>
      </w:pPr>
      <w:r>
        <w:rPr>
          <w:rFonts w:hint="eastAsia"/>
        </w:rPr>
        <w:t>相关方可包括顾客、社区、供方、监管部门、非政府组织、投资方和员工。</w:t>
      </w:r>
    </w:p>
    <w:p>
      <w:pPr>
        <w:pStyle w:val="15"/>
        <w:widowControl/>
        <w:spacing w:after="0" w:line="240" w:lineRule="auto"/>
        <w:ind w:firstLine="420" w:firstLineChars="200"/>
        <w:rPr>
          <w:rFonts w:hint="eastAsia" w:ascii="宋体" w:hAnsi="宋体" w:cs="宋体"/>
        </w:rPr>
      </w:pPr>
      <w:r>
        <w:rPr>
          <w:rFonts w:hint="eastAsia" w:ascii="宋体" w:hAnsi="宋体" w:cs="宋体"/>
        </w:rPr>
        <w:t>[来源：GB/T 23331-2020，3.1.5]</w:t>
      </w:r>
    </w:p>
    <w:p>
      <w:pPr>
        <w:pStyle w:val="288"/>
        <w:numPr>
          <w:ilvl w:val="2"/>
          <w:numId w:val="33"/>
        </w:numPr>
        <w:tabs>
          <w:tab w:val="left" w:pos="839"/>
        </w:tabs>
        <w:spacing w:line="240" w:lineRule="auto"/>
        <w:rPr>
          <w:sz w:val="21"/>
          <w:szCs w:val="21"/>
        </w:rPr>
      </w:pPr>
      <w:bookmarkStart w:id="112" w:name="_Toc152871511"/>
      <w:bookmarkEnd w:id="112"/>
      <w:bookmarkStart w:id="113" w:name="_Toc152786091"/>
      <w:bookmarkEnd w:id="113"/>
      <w:bookmarkStart w:id="114" w:name="_Toc151494456"/>
      <w:bookmarkEnd w:id="114"/>
      <w:bookmarkStart w:id="115" w:name="_Toc152871173"/>
      <w:bookmarkEnd w:id="115"/>
      <w:bookmarkStart w:id="116" w:name="_Toc153186142"/>
      <w:bookmarkEnd w:id="116"/>
      <w:bookmarkStart w:id="117" w:name="_Toc152871410"/>
      <w:bookmarkEnd w:id="117"/>
      <w:bookmarkStart w:id="118" w:name="_Toc152919797"/>
      <w:bookmarkEnd w:id="118"/>
      <w:bookmarkStart w:id="119" w:name="_Toc151493970"/>
      <w:bookmarkEnd w:id="119"/>
      <w:bookmarkStart w:id="120" w:name="_Toc144924052"/>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碳排放管理体系 carbon emission management system</w:t>
      </w:r>
      <w:bookmarkEnd w:id="120"/>
    </w:p>
    <w:p>
      <w:pPr>
        <w:pStyle w:val="15"/>
        <w:spacing w:after="0" w:line="240" w:lineRule="auto"/>
        <w:ind w:firstLine="420" w:firstLineChars="200"/>
      </w:pPr>
      <w:r>
        <w:rPr>
          <w:rFonts w:hint="eastAsia"/>
        </w:rPr>
        <w:t>组织用于建立碳排放管理方针、碳排放管理目标、碳排放评价指标、措施计划和过程以实现碳排放管理目标和碳排放评价指标的管理体系。</w:t>
      </w:r>
    </w:p>
    <w:p>
      <w:pPr>
        <w:pStyle w:val="15"/>
        <w:widowControl/>
        <w:spacing w:after="0" w:line="240" w:lineRule="auto"/>
        <w:ind w:firstLine="420" w:firstLineChars="200"/>
        <w:rPr>
          <w:rFonts w:hint="eastAsia" w:ascii="宋体" w:hAnsi="宋体" w:cs="宋体"/>
        </w:rPr>
      </w:pPr>
      <w:r>
        <w:rPr>
          <w:rFonts w:hint="eastAsia" w:ascii="宋体" w:hAnsi="宋体" w:cs="宋体"/>
        </w:rPr>
        <w:t>[来源：GB/T 23331-2020，3.2.2，有修改]</w:t>
      </w:r>
    </w:p>
    <w:p>
      <w:pPr>
        <w:pStyle w:val="288"/>
        <w:numPr>
          <w:ilvl w:val="2"/>
          <w:numId w:val="33"/>
        </w:numPr>
        <w:tabs>
          <w:tab w:val="left" w:pos="839"/>
        </w:tabs>
        <w:spacing w:line="240" w:lineRule="auto"/>
        <w:rPr>
          <w:sz w:val="21"/>
          <w:szCs w:val="21"/>
        </w:rPr>
      </w:pPr>
      <w:bookmarkStart w:id="121" w:name="_Toc152786092"/>
      <w:bookmarkEnd w:id="121"/>
      <w:bookmarkStart w:id="122" w:name="_Toc153186143"/>
      <w:bookmarkEnd w:id="122"/>
      <w:bookmarkStart w:id="123" w:name="_Toc152871411"/>
      <w:bookmarkEnd w:id="123"/>
      <w:bookmarkStart w:id="124" w:name="_Toc152871512"/>
      <w:bookmarkEnd w:id="124"/>
      <w:bookmarkStart w:id="125" w:name="_Toc151494457"/>
      <w:bookmarkEnd w:id="125"/>
      <w:bookmarkStart w:id="126" w:name="_Toc152919798"/>
      <w:bookmarkEnd w:id="126"/>
      <w:bookmarkStart w:id="127" w:name="_Toc151493971"/>
      <w:bookmarkEnd w:id="127"/>
      <w:bookmarkStart w:id="128" w:name="_Toc152871174"/>
      <w:bookmarkEnd w:id="128"/>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碳排放管理方针 carbon emission management policy</w:t>
      </w:r>
    </w:p>
    <w:p>
      <w:pPr>
        <w:pStyle w:val="15"/>
        <w:spacing w:after="0" w:line="240" w:lineRule="auto"/>
        <w:ind w:firstLine="420"/>
      </w:pPr>
      <w:r>
        <w:rPr>
          <w:rFonts w:hint="eastAsia"/>
        </w:rPr>
        <w:t>由最高管理者就碳排放绩效正式表达的组织的整体目标、方向和承诺。</w:t>
      </w:r>
    </w:p>
    <w:p>
      <w:pPr>
        <w:pStyle w:val="15"/>
        <w:widowControl/>
        <w:spacing w:after="0" w:line="240" w:lineRule="auto"/>
        <w:ind w:firstLine="420"/>
        <w:rPr>
          <w:rFonts w:hint="eastAsia" w:ascii="宋体" w:hAnsi="宋体" w:cs="宋体"/>
        </w:rPr>
      </w:pPr>
      <w:r>
        <w:rPr>
          <w:rFonts w:hint="eastAsia" w:ascii="宋体" w:hAnsi="宋体" w:cs="宋体"/>
        </w:rPr>
        <w:t>[来源：GB/T 23331-2020，3.2.4，有修改]</w:t>
      </w:r>
    </w:p>
    <w:p>
      <w:pPr>
        <w:pStyle w:val="288"/>
        <w:numPr>
          <w:ilvl w:val="2"/>
          <w:numId w:val="33"/>
        </w:numPr>
        <w:tabs>
          <w:tab w:val="left" w:pos="839"/>
        </w:tabs>
        <w:spacing w:line="240" w:lineRule="auto"/>
        <w:rPr>
          <w:sz w:val="21"/>
          <w:szCs w:val="21"/>
        </w:rPr>
      </w:pPr>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碳排放管理目标 carbon emission management objective</w:t>
      </w:r>
    </w:p>
    <w:p>
      <w:pPr>
        <w:pStyle w:val="15"/>
        <w:spacing w:after="0" w:line="240" w:lineRule="auto"/>
        <w:ind w:firstLine="420"/>
      </w:pPr>
      <w:r>
        <w:rPr>
          <w:rFonts w:hint="eastAsia"/>
        </w:rPr>
        <w:t>组织依据其碳排放管理方针制定的目标，与持续改进的碳排放绩效相关的、明确的预期结果或成效。</w:t>
      </w:r>
    </w:p>
    <w:p>
      <w:pPr>
        <w:pStyle w:val="15"/>
        <w:widowControl/>
        <w:spacing w:after="0" w:line="240" w:lineRule="auto"/>
        <w:ind w:firstLine="420"/>
        <w:rPr>
          <w:rFonts w:hint="eastAsia" w:ascii="宋体" w:hAnsi="宋体" w:cs="宋体"/>
        </w:rPr>
      </w:pPr>
      <w:r>
        <w:rPr>
          <w:rFonts w:hint="eastAsia" w:ascii="宋体" w:hAnsi="宋体" w:cs="宋体"/>
        </w:rPr>
        <w:t>[来源：GB/T 24001-2016，3.2.6，有修改]</w:t>
      </w:r>
    </w:p>
    <w:p>
      <w:pPr>
        <w:pStyle w:val="288"/>
        <w:numPr>
          <w:ilvl w:val="2"/>
          <w:numId w:val="33"/>
        </w:numPr>
        <w:tabs>
          <w:tab w:val="left" w:pos="839"/>
        </w:tabs>
        <w:spacing w:line="240" w:lineRule="auto"/>
        <w:rPr>
          <w:sz w:val="21"/>
          <w:szCs w:val="21"/>
        </w:rPr>
      </w:pPr>
      <w:bookmarkStart w:id="129" w:name="_Toc151494458"/>
      <w:bookmarkEnd w:id="129"/>
      <w:bookmarkStart w:id="130" w:name="_Toc152786093"/>
      <w:bookmarkEnd w:id="130"/>
      <w:bookmarkStart w:id="131" w:name="_Toc152871412"/>
      <w:bookmarkEnd w:id="131"/>
      <w:bookmarkStart w:id="132" w:name="_Toc152871175"/>
      <w:bookmarkEnd w:id="132"/>
      <w:bookmarkStart w:id="133" w:name="_Toc152871513"/>
      <w:bookmarkEnd w:id="133"/>
      <w:bookmarkStart w:id="134" w:name="_Toc152919799"/>
      <w:bookmarkEnd w:id="134"/>
      <w:bookmarkStart w:id="135" w:name="_Toc151493972"/>
      <w:bookmarkEnd w:id="135"/>
      <w:bookmarkStart w:id="136" w:name="_Toc153186144"/>
      <w:bookmarkEnd w:id="136"/>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bookmarkStart w:id="137" w:name="_Toc151494459"/>
      <w:bookmarkStart w:id="138" w:name="_Toc152871176"/>
      <w:bookmarkStart w:id="139" w:name="_Toc152919800"/>
      <w:bookmarkStart w:id="140" w:name="_Toc152871514"/>
      <w:bookmarkStart w:id="141" w:name="_Toc151493973"/>
      <w:bookmarkStart w:id="142" w:name="_Toc152871413"/>
      <w:bookmarkStart w:id="143" w:name="_Toc152786094"/>
      <w:bookmarkStart w:id="144" w:name="_Toc153186145"/>
      <w:r>
        <w:rPr>
          <w:rFonts w:hint="eastAsia" w:ascii="黑体" w:hAnsi="黑体" w:eastAsia="黑体" w:cs="黑体"/>
          <w:b w:val="0"/>
          <w:bCs w:val="0"/>
          <w:sz w:val="21"/>
          <w:szCs w:val="21"/>
        </w:rPr>
        <w:t xml:space="preserve">碳排放评估 carbon emission </w:t>
      </w:r>
      <w:bookmarkEnd w:id="137"/>
      <w:bookmarkEnd w:id="138"/>
      <w:bookmarkEnd w:id="139"/>
      <w:bookmarkEnd w:id="140"/>
      <w:bookmarkEnd w:id="141"/>
      <w:bookmarkEnd w:id="142"/>
      <w:bookmarkEnd w:id="143"/>
      <w:r>
        <w:rPr>
          <w:rFonts w:hint="eastAsia" w:ascii="黑体" w:hAnsi="黑体" w:eastAsia="黑体" w:cs="黑体"/>
          <w:b w:val="0"/>
          <w:bCs w:val="0"/>
          <w:sz w:val="21"/>
          <w:szCs w:val="21"/>
        </w:rPr>
        <w:t>evaluation</w:t>
      </w:r>
      <w:bookmarkEnd w:id="144"/>
    </w:p>
    <w:p>
      <w:pPr>
        <w:pStyle w:val="15"/>
        <w:spacing w:after="0" w:line="240" w:lineRule="auto"/>
        <w:ind w:firstLine="420"/>
      </w:pPr>
      <w:r>
        <w:rPr>
          <w:rFonts w:hint="eastAsia"/>
        </w:rPr>
        <w:t>基于数据和其他信息，评估分析主要温室气体源、碳排放总量趋势、能源消耗排放及公益过程排放等以确定主要碳排放水平和碳排放绩效改进的机会。</w:t>
      </w:r>
    </w:p>
    <w:p>
      <w:pPr>
        <w:pStyle w:val="15"/>
        <w:widowControl/>
        <w:spacing w:after="0" w:line="240" w:lineRule="auto"/>
        <w:ind w:firstLine="420"/>
        <w:rPr>
          <w:rFonts w:hint="eastAsia" w:ascii="宋体" w:hAnsi="宋体" w:cs="宋体"/>
        </w:rPr>
      </w:pPr>
      <w:r>
        <w:rPr>
          <w:rFonts w:hint="eastAsia" w:ascii="宋体" w:hAnsi="宋体" w:cs="宋体"/>
        </w:rPr>
        <w:t>[来源：GB/T 23331-2020，3.5.5，有修改]</w:t>
      </w:r>
    </w:p>
    <w:p>
      <w:pPr>
        <w:pStyle w:val="297"/>
        <w:numPr>
          <w:ilvl w:val="1"/>
          <w:numId w:val="33"/>
        </w:numPr>
        <w:spacing w:before="156" w:beforeLines="50" w:after="156" w:afterLines="50"/>
      </w:pPr>
      <w:bookmarkStart w:id="145" w:name="_Toc153186146"/>
      <w:r>
        <w:rPr>
          <w:rFonts w:hint="eastAsia"/>
        </w:rPr>
        <w:t>与绩效评价有关的术语</w:t>
      </w:r>
      <w:bookmarkEnd w:id="145"/>
    </w:p>
    <w:p>
      <w:pPr>
        <w:pStyle w:val="288"/>
        <w:numPr>
          <w:ilvl w:val="2"/>
          <w:numId w:val="33"/>
        </w:numPr>
        <w:tabs>
          <w:tab w:val="left" w:pos="839"/>
        </w:tabs>
        <w:spacing w:line="240" w:lineRule="auto"/>
      </w:pPr>
      <w:bookmarkStart w:id="146" w:name="_Toc152786338"/>
      <w:bookmarkEnd w:id="146"/>
      <w:bookmarkStart w:id="147" w:name="_Toc152919801"/>
      <w:bookmarkEnd w:id="147"/>
      <w:bookmarkStart w:id="148" w:name="_Toc152786339"/>
      <w:bookmarkEnd w:id="148"/>
      <w:bookmarkStart w:id="149" w:name="_Toc152786096"/>
      <w:bookmarkEnd w:id="149"/>
      <w:bookmarkStart w:id="150" w:name="_Toc152871414"/>
      <w:bookmarkEnd w:id="150"/>
      <w:bookmarkStart w:id="151" w:name="_Toc151493976"/>
      <w:bookmarkEnd w:id="151"/>
      <w:bookmarkStart w:id="152" w:name="_Toc151493974"/>
      <w:bookmarkEnd w:id="152"/>
      <w:bookmarkStart w:id="153" w:name="_Toc152786097"/>
      <w:bookmarkEnd w:id="153"/>
      <w:bookmarkStart w:id="154" w:name="_Toc151494460"/>
      <w:bookmarkEnd w:id="154"/>
      <w:bookmarkStart w:id="155" w:name="_Toc153186147"/>
      <w:bookmarkEnd w:id="155"/>
      <w:bookmarkStart w:id="156" w:name="_Toc152871515"/>
      <w:bookmarkEnd w:id="156"/>
      <w:bookmarkStart w:id="157" w:name="_Toc151494461"/>
      <w:bookmarkEnd w:id="157"/>
      <w:bookmarkStart w:id="158" w:name="_Toc151493975"/>
      <w:bookmarkEnd w:id="158"/>
      <w:bookmarkStart w:id="159" w:name="_Toc151494462"/>
      <w:bookmarkEnd w:id="159"/>
      <w:bookmarkStart w:id="160" w:name="_Toc152786095"/>
      <w:bookmarkEnd w:id="160"/>
      <w:bookmarkStart w:id="161" w:name="_Toc144924059"/>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bookmarkStart w:id="162" w:name="_Toc152871516"/>
      <w:bookmarkStart w:id="163" w:name="_Toc151493977"/>
      <w:bookmarkStart w:id="164" w:name="_Toc152919802"/>
      <w:bookmarkStart w:id="165" w:name="_Toc153186148"/>
      <w:bookmarkStart w:id="166" w:name="_Toc152786098"/>
      <w:bookmarkStart w:id="167" w:name="_Toc151494463"/>
      <w:bookmarkStart w:id="168" w:name="_Toc152871415"/>
      <w:r>
        <w:rPr>
          <w:rFonts w:hint="eastAsia" w:ascii="黑体" w:hAnsi="黑体" w:eastAsia="黑体" w:cs="黑体"/>
          <w:b w:val="0"/>
          <w:bCs w:val="0"/>
          <w:sz w:val="21"/>
          <w:szCs w:val="21"/>
        </w:rPr>
        <w:t>绩效 performance</w:t>
      </w:r>
      <w:bookmarkEnd w:id="161"/>
      <w:bookmarkEnd w:id="162"/>
      <w:bookmarkEnd w:id="163"/>
      <w:bookmarkEnd w:id="164"/>
      <w:bookmarkEnd w:id="165"/>
      <w:bookmarkEnd w:id="166"/>
      <w:bookmarkEnd w:id="167"/>
      <w:bookmarkEnd w:id="168"/>
    </w:p>
    <w:p>
      <w:pPr>
        <w:pStyle w:val="15"/>
        <w:spacing w:after="0" w:line="240" w:lineRule="auto"/>
        <w:ind w:firstLine="420"/>
      </w:pPr>
      <w:r>
        <w:rPr>
          <w:rFonts w:hint="eastAsia"/>
        </w:rPr>
        <w:t xml:space="preserve">可测量的结果。 </w:t>
      </w:r>
    </w:p>
    <w:p>
      <w:pPr>
        <w:pStyle w:val="15"/>
        <w:widowControl/>
        <w:spacing w:after="0" w:line="240" w:lineRule="auto"/>
        <w:ind w:firstLine="420"/>
        <w:rPr>
          <w:rFonts w:hint="eastAsia" w:ascii="宋体" w:hAnsi="宋体" w:cs="宋体"/>
        </w:rPr>
      </w:pPr>
      <w:r>
        <w:rPr>
          <w:rFonts w:hint="eastAsia" w:ascii="宋体" w:hAnsi="宋体" w:cs="宋体"/>
        </w:rPr>
        <w:t>[来源:ISO/IEC Directives，Part 1:2021，附录 SL 附件 2，3.11]</w:t>
      </w:r>
    </w:p>
    <w:p>
      <w:pPr>
        <w:pStyle w:val="288"/>
        <w:numPr>
          <w:ilvl w:val="2"/>
          <w:numId w:val="33"/>
        </w:numPr>
        <w:tabs>
          <w:tab w:val="left" w:pos="839"/>
        </w:tabs>
        <w:spacing w:line="240" w:lineRule="auto"/>
      </w:pPr>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碳排放绩效 carbon emission performance</w:t>
      </w:r>
    </w:p>
    <w:p>
      <w:pPr>
        <w:pStyle w:val="15"/>
        <w:spacing w:after="0" w:line="240" w:lineRule="auto"/>
        <w:ind w:firstLine="420"/>
      </w:pPr>
      <w:r>
        <w:rPr>
          <w:rFonts w:hint="eastAsia"/>
        </w:rPr>
        <w:t>与组织碳排放的管理有关的绩效。</w:t>
      </w:r>
    </w:p>
    <w:p>
      <w:pPr>
        <w:pStyle w:val="187"/>
        <w:numPr>
          <w:ilvl w:val="0"/>
          <w:numId w:val="0"/>
        </w:numPr>
        <w:autoSpaceDE/>
        <w:autoSpaceDN/>
        <w:ind w:left="420" w:hanging="374"/>
      </w:pPr>
      <w:r>
        <w:rPr>
          <w:rFonts w:ascii="黑体" w:eastAsia="黑体"/>
        </w:rPr>
        <w:t>注：</w:t>
      </w:r>
      <w:r>
        <w:rPr>
          <w:rFonts w:hint="eastAsia"/>
        </w:rPr>
        <w:t>对于一个碳排放管理体系，依据组织的碳排放管理方针、碳排放管理目标、碳排放评价指标和其他碳排放绩效要求测量碳排放绩效。</w:t>
      </w:r>
    </w:p>
    <w:p>
      <w:pPr>
        <w:pStyle w:val="15"/>
        <w:widowControl/>
        <w:spacing w:after="0" w:line="240" w:lineRule="auto"/>
        <w:ind w:firstLine="420"/>
        <w:rPr>
          <w:rFonts w:hint="eastAsia" w:ascii="宋体" w:hAnsi="宋体" w:cs="宋体"/>
        </w:rPr>
      </w:pPr>
      <w:r>
        <w:rPr>
          <w:rFonts w:hint="eastAsia" w:ascii="宋体" w:hAnsi="宋体" w:cs="宋体"/>
        </w:rPr>
        <w:t>[来源：GB/T 24001-2016，3.4.11，有修改]</w:t>
      </w:r>
    </w:p>
    <w:p>
      <w:pPr>
        <w:pStyle w:val="288"/>
        <w:numPr>
          <w:ilvl w:val="2"/>
          <w:numId w:val="33"/>
        </w:numPr>
        <w:tabs>
          <w:tab w:val="left" w:pos="839"/>
        </w:tabs>
        <w:spacing w:line="240" w:lineRule="auto"/>
      </w:pPr>
      <w:bookmarkStart w:id="169" w:name="_Toc152786100"/>
      <w:bookmarkEnd w:id="169"/>
      <w:bookmarkStart w:id="170" w:name="_Toc152919803"/>
      <w:bookmarkEnd w:id="170"/>
      <w:bookmarkStart w:id="171" w:name="_Toc151493979"/>
      <w:bookmarkEnd w:id="171"/>
      <w:bookmarkStart w:id="172" w:name="_Toc152786099"/>
      <w:bookmarkEnd w:id="172"/>
      <w:bookmarkStart w:id="173" w:name="_Toc151494464"/>
      <w:bookmarkEnd w:id="173"/>
      <w:bookmarkStart w:id="174" w:name="_Toc152871416"/>
      <w:bookmarkEnd w:id="174"/>
      <w:bookmarkStart w:id="175" w:name="_Toc152871517"/>
      <w:bookmarkEnd w:id="175"/>
      <w:bookmarkStart w:id="176" w:name="_Toc151493978"/>
      <w:bookmarkEnd w:id="176"/>
      <w:bookmarkStart w:id="177" w:name="_Toc151494465"/>
      <w:bookmarkEnd w:id="177"/>
      <w:bookmarkStart w:id="178" w:name="_Toc153186149"/>
      <w:bookmarkEnd w:id="178"/>
      <w:bookmarkStart w:id="179" w:name="_Toc152786342"/>
      <w:bookmarkEnd w:id="179"/>
      <w:bookmarkStart w:id="180" w:name="_Toc144924065"/>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bookmarkStart w:id="181" w:name="_Toc152871518"/>
      <w:bookmarkStart w:id="182" w:name="_Toc153186150"/>
      <w:bookmarkStart w:id="183" w:name="_Toc151494466"/>
      <w:bookmarkStart w:id="184" w:name="_Toc152919804"/>
      <w:bookmarkStart w:id="185" w:name="_Toc151493980"/>
      <w:bookmarkStart w:id="186" w:name="_Toc152871417"/>
      <w:bookmarkStart w:id="187" w:name="_Toc152786101"/>
      <w:r>
        <w:rPr>
          <w:rFonts w:hint="eastAsia" w:ascii="黑体" w:hAnsi="黑体" w:eastAsia="黑体" w:cs="黑体"/>
          <w:b w:val="0"/>
          <w:bCs w:val="0"/>
          <w:sz w:val="21"/>
          <w:szCs w:val="21"/>
        </w:rPr>
        <w:t>碳排放绩效参数 carbon emission performance indicator</w:t>
      </w:r>
      <w:bookmarkEnd w:id="180"/>
      <w:bookmarkEnd w:id="181"/>
      <w:bookmarkEnd w:id="182"/>
      <w:bookmarkEnd w:id="183"/>
      <w:bookmarkEnd w:id="184"/>
      <w:bookmarkEnd w:id="185"/>
      <w:bookmarkEnd w:id="186"/>
      <w:bookmarkEnd w:id="187"/>
    </w:p>
    <w:p>
      <w:pPr>
        <w:pStyle w:val="15"/>
        <w:spacing w:after="0" w:line="240" w:lineRule="auto"/>
        <w:ind w:firstLine="420"/>
      </w:pPr>
      <w:r>
        <w:rPr>
          <w:rFonts w:hint="eastAsia"/>
        </w:rPr>
        <w:t>由组织确定的碳排放绩效的度量或单位。</w:t>
      </w:r>
    </w:p>
    <w:p>
      <w:pPr>
        <w:pStyle w:val="187"/>
        <w:numPr>
          <w:ilvl w:val="0"/>
          <w:numId w:val="0"/>
        </w:numPr>
        <w:autoSpaceDE/>
        <w:autoSpaceDN/>
        <w:ind w:left="717" w:leftChars="170" w:hanging="360" w:hangingChars="200"/>
      </w:pPr>
      <w:r>
        <w:rPr>
          <w:rFonts w:ascii="黑体" w:eastAsia="黑体"/>
        </w:rPr>
        <w:t>注：</w:t>
      </w:r>
      <w:r>
        <w:rPr>
          <w:rFonts w:hint="eastAsia"/>
        </w:rPr>
        <w:t>依据被测量的活动属性，碳排放绩效参数可能以一个简单的度量单位、比率或一个模型表示。</w:t>
      </w:r>
    </w:p>
    <w:p>
      <w:pPr>
        <w:pStyle w:val="15"/>
        <w:widowControl/>
        <w:spacing w:after="0" w:line="240" w:lineRule="auto"/>
        <w:ind w:firstLine="420"/>
        <w:rPr>
          <w:rFonts w:hint="eastAsia" w:ascii="宋体" w:hAnsi="宋体" w:cs="宋体"/>
        </w:rPr>
      </w:pPr>
      <w:r>
        <w:rPr>
          <w:rFonts w:hint="eastAsia" w:ascii="宋体" w:hAnsi="宋体" w:cs="宋体"/>
        </w:rPr>
        <w:t>[来源：GB/T 23331-2020，3.4.4，有修改]</w:t>
      </w:r>
    </w:p>
    <w:p>
      <w:pPr>
        <w:pStyle w:val="288"/>
        <w:numPr>
          <w:ilvl w:val="2"/>
          <w:numId w:val="33"/>
        </w:numPr>
        <w:tabs>
          <w:tab w:val="left" w:pos="839"/>
        </w:tabs>
        <w:spacing w:line="240" w:lineRule="auto"/>
      </w:pPr>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碳排放评价指标 carbon emission assessing target</w:t>
      </w:r>
    </w:p>
    <w:p>
      <w:pPr>
        <w:pStyle w:val="15"/>
        <w:spacing w:after="0" w:line="240" w:lineRule="auto"/>
        <w:ind w:firstLine="420"/>
      </w:pPr>
      <w:r>
        <w:rPr>
          <w:rFonts w:hint="eastAsia"/>
        </w:rPr>
        <w:t>碳排放绩效改进的可量化的目标。</w:t>
      </w:r>
    </w:p>
    <w:p>
      <w:pPr>
        <w:pStyle w:val="15"/>
        <w:widowControl/>
        <w:spacing w:after="0" w:line="240" w:lineRule="auto"/>
        <w:ind w:firstLine="420"/>
        <w:rPr>
          <w:rFonts w:hint="eastAsia" w:ascii="宋体" w:hAnsi="宋体" w:cs="宋体"/>
        </w:rPr>
      </w:pPr>
      <w:r>
        <w:rPr>
          <w:rFonts w:hint="eastAsia" w:ascii="宋体" w:hAnsi="宋体" w:cs="宋体"/>
        </w:rPr>
        <w:t>[来源：GB/T 23331-2020，3.4.15，有修改]</w:t>
      </w:r>
    </w:p>
    <w:p>
      <w:pPr>
        <w:pStyle w:val="288"/>
        <w:numPr>
          <w:ilvl w:val="2"/>
          <w:numId w:val="33"/>
        </w:numPr>
        <w:tabs>
          <w:tab w:val="left" w:pos="839"/>
        </w:tabs>
        <w:spacing w:line="240" w:lineRule="auto"/>
      </w:pPr>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科学碳目标 science based target</w:t>
      </w:r>
    </w:p>
    <w:p>
      <w:pPr>
        <w:pStyle w:val="15"/>
        <w:spacing w:after="0" w:line="240" w:lineRule="auto"/>
        <w:ind w:firstLine="420"/>
      </w:pPr>
      <w:r>
        <w:rPr>
          <w:rFonts w:hint="eastAsia"/>
        </w:rPr>
        <w:t>符合最新气候科学认为的实现《巴黎协定》目标。</w:t>
      </w:r>
    </w:p>
    <w:p>
      <w:pPr>
        <w:pStyle w:val="297"/>
        <w:numPr>
          <w:ilvl w:val="1"/>
          <w:numId w:val="33"/>
        </w:numPr>
        <w:spacing w:beforeLines="0" w:afterLines="0"/>
      </w:pPr>
      <w:r>
        <w:rPr>
          <w:rFonts w:hint="eastAsia"/>
        </w:rPr>
        <w:t>注：</w:t>
      </w:r>
      <w:r>
        <w:t>把全球平均气温升幅明显控制在工业化前水平以上的2°C 以内，并为将气温升幅限制在工业化前水平以上的1.5°C而努力的必要条件的目标。</w:t>
      </w:r>
      <w:bookmarkStart w:id="188" w:name="_Toc151494471"/>
      <w:bookmarkEnd w:id="188"/>
      <w:bookmarkStart w:id="189" w:name="_Toc151493982"/>
      <w:bookmarkEnd w:id="189"/>
      <w:bookmarkStart w:id="190" w:name="_Toc152786350"/>
      <w:bookmarkEnd w:id="190"/>
      <w:bookmarkStart w:id="191" w:name="_Toc151493981"/>
      <w:bookmarkEnd w:id="191"/>
      <w:bookmarkStart w:id="192" w:name="_Toc152786345"/>
      <w:bookmarkEnd w:id="192"/>
      <w:bookmarkStart w:id="193" w:name="_Toc152786346"/>
      <w:bookmarkEnd w:id="193"/>
      <w:bookmarkStart w:id="194" w:name="_Toc151494468"/>
      <w:bookmarkEnd w:id="194"/>
      <w:bookmarkStart w:id="195" w:name="_Toc151494467"/>
      <w:bookmarkEnd w:id="195"/>
      <w:bookmarkStart w:id="196" w:name="_Toc151493983"/>
      <w:bookmarkEnd w:id="196"/>
      <w:bookmarkStart w:id="197" w:name="_Toc152786104"/>
      <w:bookmarkEnd w:id="197"/>
      <w:bookmarkStart w:id="198" w:name="_Toc151493984"/>
      <w:bookmarkEnd w:id="198"/>
      <w:bookmarkStart w:id="199" w:name="_Toc152786102"/>
      <w:bookmarkEnd w:id="199"/>
      <w:bookmarkStart w:id="200" w:name="_Toc152786348"/>
      <w:bookmarkEnd w:id="200"/>
      <w:bookmarkStart w:id="201" w:name="_Toc152786106"/>
      <w:bookmarkEnd w:id="201"/>
      <w:bookmarkStart w:id="202" w:name="_Toc151494472"/>
      <w:bookmarkEnd w:id="202"/>
      <w:bookmarkStart w:id="203" w:name="_Toc152786105"/>
      <w:bookmarkEnd w:id="203"/>
      <w:bookmarkStart w:id="204" w:name="_Toc151493986"/>
      <w:bookmarkEnd w:id="204"/>
      <w:bookmarkStart w:id="205" w:name="_Toc151494469"/>
      <w:bookmarkEnd w:id="205"/>
      <w:bookmarkStart w:id="206" w:name="_Toc151493985"/>
      <w:bookmarkEnd w:id="206"/>
      <w:bookmarkStart w:id="207" w:name="_Toc152786347"/>
      <w:bookmarkEnd w:id="207"/>
      <w:bookmarkStart w:id="208" w:name="_Toc152786349"/>
      <w:bookmarkEnd w:id="208"/>
      <w:bookmarkStart w:id="209" w:name="_Toc152786107"/>
      <w:bookmarkEnd w:id="209"/>
      <w:bookmarkStart w:id="210" w:name="_Toc152786103"/>
      <w:bookmarkEnd w:id="210"/>
      <w:bookmarkStart w:id="211" w:name="_Toc151494470"/>
      <w:bookmarkEnd w:id="211"/>
      <w:bookmarkStart w:id="212" w:name="_Toc152871519"/>
      <w:bookmarkStart w:id="213" w:name="_Toc151493987"/>
      <w:bookmarkStart w:id="214" w:name="_Toc152871418"/>
      <w:bookmarkStart w:id="215" w:name="_Toc152919805"/>
      <w:bookmarkStart w:id="216" w:name="_Toc152786108"/>
      <w:bookmarkStart w:id="217" w:name="_Toc153186151"/>
      <w:r>
        <w:rPr>
          <w:rFonts w:hint="eastAsia"/>
        </w:rPr>
        <w:t>与碳排放有关的术语</w:t>
      </w:r>
      <w:bookmarkEnd w:id="212"/>
      <w:bookmarkEnd w:id="213"/>
      <w:bookmarkEnd w:id="214"/>
      <w:bookmarkEnd w:id="215"/>
      <w:bookmarkEnd w:id="216"/>
      <w:bookmarkEnd w:id="217"/>
    </w:p>
    <w:p>
      <w:pPr>
        <w:pStyle w:val="288"/>
        <w:numPr>
          <w:ilvl w:val="2"/>
          <w:numId w:val="33"/>
        </w:numPr>
        <w:tabs>
          <w:tab w:val="left" w:pos="839"/>
        </w:tabs>
        <w:spacing w:line="240" w:lineRule="auto"/>
      </w:pPr>
      <w:bookmarkStart w:id="218" w:name="_Toc152919806"/>
      <w:bookmarkEnd w:id="218"/>
      <w:bookmarkStart w:id="219" w:name="_Toc152871520"/>
      <w:bookmarkEnd w:id="219"/>
      <w:bookmarkStart w:id="220" w:name="_Toc151493988"/>
      <w:bookmarkEnd w:id="220"/>
      <w:bookmarkStart w:id="221" w:name="_Toc152786109"/>
      <w:bookmarkEnd w:id="221"/>
      <w:bookmarkStart w:id="222" w:name="_Toc153186152"/>
      <w:bookmarkEnd w:id="222"/>
      <w:bookmarkStart w:id="223" w:name="_Toc152871419"/>
      <w:bookmarkEnd w:id="223"/>
      <w:bookmarkStart w:id="224" w:name="_Toc151494474"/>
      <w:bookmarkEnd w:id="224"/>
      <w:bookmarkStart w:id="225" w:name="_Toc144924073"/>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bookmarkStart w:id="226" w:name="_Toc151494475"/>
      <w:bookmarkStart w:id="227" w:name="_Toc152871420"/>
      <w:bookmarkStart w:id="228" w:name="_Toc152871521"/>
      <w:bookmarkStart w:id="229" w:name="_Toc152919807"/>
      <w:bookmarkStart w:id="230" w:name="_Toc153186153"/>
      <w:bookmarkStart w:id="231" w:name="_Toc151493989"/>
      <w:bookmarkStart w:id="232" w:name="_Toc152786110"/>
      <w:r>
        <w:rPr>
          <w:rFonts w:hint="eastAsia" w:ascii="黑体" w:hAnsi="黑体" w:eastAsia="黑体" w:cs="黑体"/>
          <w:b w:val="0"/>
          <w:bCs w:val="0"/>
          <w:sz w:val="21"/>
          <w:szCs w:val="21"/>
        </w:rPr>
        <w:t>碳排放 carbon emission</w:t>
      </w:r>
      <w:bookmarkEnd w:id="225"/>
      <w:bookmarkEnd w:id="226"/>
      <w:bookmarkEnd w:id="227"/>
      <w:bookmarkEnd w:id="228"/>
      <w:bookmarkEnd w:id="229"/>
      <w:bookmarkEnd w:id="230"/>
      <w:bookmarkEnd w:id="231"/>
      <w:bookmarkEnd w:id="232"/>
    </w:p>
    <w:p>
      <w:pPr>
        <w:pStyle w:val="15"/>
        <w:spacing w:after="0" w:line="240" w:lineRule="auto"/>
        <w:ind w:firstLine="420"/>
      </w:pPr>
      <w:r>
        <w:rPr>
          <w:rFonts w:hint="eastAsia"/>
        </w:rPr>
        <w:t>是指煤炭、石油、天然气等化石能源燃烧活动和工业生产过程以及土地利用变化与林业等活动产生的碳排放，也包括因使用外购的电力和热力等所导致的碳排放。</w:t>
      </w:r>
    </w:p>
    <w:p>
      <w:pPr>
        <w:pStyle w:val="187"/>
        <w:numPr>
          <w:ilvl w:val="0"/>
          <w:numId w:val="0"/>
        </w:numPr>
        <w:ind w:left="717" w:leftChars="170" w:hanging="360" w:hangingChars="200"/>
      </w:pPr>
      <w:r>
        <w:rPr>
          <w:rFonts w:ascii="黑体" w:eastAsia="黑体"/>
        </w:rPr>
        <w:t>注：</w:t>
      </w:r>
      <w:r>
        <w:rPr>
          <w:rFonts w:hint="eastAsia"/>
        </w:rPr>
        <w:t>本文件温室气体包含以下七种，二氧化碳（CO</w:t>
      </w:r>
      <w:r>
        <w:rPr>
          <w:vertAlign w:val="subscript"/>
        </w:rPr>
        <w:t>2</w:t>
      </w:r>
      <w:r>
        <w:rPr>
          <w:rFonts w:hint="eastAsia"/>
        </w:rPr>
        <w:t>）、甲烷（CH</w:t>
      </w:r>
      <w:r>
        <w:rPr>
          <w:vertAlign w:val="subscript"/>
        </w:rPr>
        <w:t>4</w:t>
      </w:r>
      <w:r>
        <w:rPr>
          <w:rFonts w:hint="eastAsia"/>
        </w:rPr>
        <w:t>）、氧化亚氮（N</w:t>
      </w:r>
      <w:r>
        <w:rPr>
          <w:vertAlign w:val="subscript"/>
        </w:rPr>
        <w:t>2</w:t>
      </w:r>
      <w:r>
        <w:rPr>
          <w:rFonts w:hint="eastAsia"/>
        </w:rPr>
        <w:t>O）、氢氟碳化物（HFCs）、全氟碳化物（PFCs）、六氟化硫（SF</w:t>
      </w:r>
      <w:r>
        <w:rPr>
          <w:vertAlign w:val="subscript"/>
        </w:rPr>
        <w:t>6</w:t>
      </w:r>
      <w:r>
        <w:rPr>
          <w:rFonts w:hint="eastAsia"/>
        </w:rPr>
        <w:t>）和三氟化氮（NF</w:t>
      </w:r>
      <w:r>
        <w:rPr>
          <w:vertAlign w:val="subscript"/>
        </w:rPr>
        <w:t>3</w:t>
      </w:r>
      <w:r>
        <w:rPr>
          <w:rFonts w:hint="eastAsia"/>
        </w:rPr>
        <w:t>）。</w:t>
      </w:r>
    </w:p>
    <w:p>
      <w:pPr>
        <w:pStyle w:val="288"/>
        <w:numPr>
          <w:ilvl w:val="2"/>
          <w:numId w:val="33"/>
        </w:numPr>
        <w:tabs>
          <w:tab w:val="left" w:pos="839"/>
        </w:tabs>
        <w:spacing w:line="240" w:lineRule="auto"/>
      </w:pPr>
      <w:bookmarkStart w:id="233" w:name="_Toc144924101"/>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碳排放权交易 carbon emission trading</w:t>
      </w:r>
    </w:p>
    <w:p>
      <w:pPr>
        <w:pStyle w:val="15"/>
        <w:spacing w:after="0" w:line="240" w:lineRule="auto"/>
        <w:ind w:firstLine="420"/>
      </w:pPr>
      <w:r>
        <w:rPr>
          <w:rFonts w:hint="eastAsia"/>
        </w:rPr>
        <w:t>主管部门以碳排放权的形式分配给重点排放单位或温室气体减排项目开发单位，允许碳排放权在市场参与者之间进行交易，以社会成本效益最优的方式实现减排目标的市场化机制。</w:t>
      </w:r>
    </w:p>
    <w:p>
      <w:pPr>
        <w:pStyle w:val="15"/>
        <w:widowControl/>
        <w:spacing w:after="0" w:line="240" w:lineRule="auto"/>
        <w:ind w:firstLine="420"/>
        <w:rPr>
          <w:rFonts w:hint="eastAsia" w:ascii="宋体" w:hAnsi="宋体" w:cs="宋体"/>
        </w:rPr>
      </w:pPr>
      <w:r>
        <w:rPr>
          <w:rFonts w:hint="eastAsia" w:ascii="宋体" w:hAnsi="宋体" w:cs="宋体"/>
        </w:rPr>
        <w:t>[来源：JR/T 0244—2022，3.4]</w:t>
      </w:r>
    </w:p>
    <w:p>
      <w:pPr>
        <w:pStyle w:val="288"/>
        <w:numPr>
          <w:ilvl w:val="2"/>
          <w:numId w:val="33"/>
        </w:numPr>
        <w:tabs>
          <w:tab w:val="left" w:pos="839"/>
        </w:tabs>
        <w:spacing w:line="240" w:lineRule="auto"/>
      </w:pPr>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碳资产 carbon asset</w:t>
      </w:r>
    </w:p>
    <w:p>
      <w:pPr>
        <w:pStyle w:val="64"/>
        <w:ind w:firstLine="420" w:firstLineChars="200"/>
      </w:pPr>
      <w:r>
        <w:rPr>
          <w:rFonts w:hint="eastAsia"/>
        </w:rPr>
        <w:t>由碳排放权交易机制产生的新型资产。</w:t>
      </w:r>
    </w:p>
    <w:p>
      <w:pPr>
        <w:pStyle w:val="187"/>
        <w:numPr>
          <w:ilvl w:val="0"/>
          <w:numId w:val="0"/>
        </w:numPr>
        <w:ind w:left="420" w:hanging="374"/>
      </w:pPr>
      <w:r>
        <w:rPr>
          <w:rFonts w:ascii="黑体" w:eastAsia="黑体"/>
        </w:rPr>
        <w:t>注：</w:t>
      </w:r>
      <w:r>
        <w:rPr>
          <w:rFonts w:hint="eastAsia"/>
        </w:rPr>
        <w:t>主要包括碳配额和碳信用。</w:t>
      </w:r>
    </w:p>
    <w:p>
      <w:pPr>
        <w:pStyle w:val="15"/>
        <w:widowControl/>
        <w:spacing w:after="0" w:line="240" w:lineRule="auto"/>
        <w:ind w:firstLine="420"/>
        <w:rPr>
          <w:rFonts w:hint="eastAsia" w:ascii="宋体" w:hAnsi="宋体" w:cs="宋体"/>
        </w:rPr>
      </w:pPr>
      <w:r>
        <w:rPr>
          <w:rFonts w:hint="eastAsia" w:ascii="宋体" w:hAnsi="宋体" w:cs="宋体"/>
        </w:rPr>
        <w:t>[来源：JR/T 0244—2022，3.5]</w:t>
      </w:r>
    </w:p>
    <w:p>
      <w:pPr>
        <w:pStyle w:val="288"/>
        <w:numPr>
          <w:ilvl w:val="2"/>
          <w:numId w:val="33"/>
        </w:numPr>
        <w:tabs>
          <w:tab w:val="left" w:pos="839"/>
        </w:tabs>
        <w:spacing w:line="240" w:lineRule="auto"/>
      </w:pPr>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lang w:bidi="ar"/>
        </w:rPr>
        <w:t xml:space="preserve">温室气体减排 greenhouse gas emission reduction </w:t>
      </w:r>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lang w:bidi="ar"/>
        </w:rPr>
        <w:t xml:space="preserve">GHG 减排 </w:t>
      </w:r>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lang w:bidi="ar"/>
        </w:rPr>
        <w:t xml:space="preserve">GHG emission reduction </w:t>
      </w:r>
    </w:p>
    <w:p>
      <w:pPr>
        <w:pStyle w:val="64"/>
        <w:ind w:firstLine="420" w:firstLineChars="200"/>
      </w:pPr>
      <w:r>
        <w:rPr>
          <w:rFonts w:hint="eastAsia"/>
          <w:lang w:bidi="ar"/>
        </w:rPr>
        <w:t xml:space="preserve">一种基准线情景与温室气体排放项目情景之间碳排放的减少量 </w:t>
      </w:r>
    </w:p>
    <w:p>
      <w:pPr>
        <w:pStyle w:val="15"/>
        <w:widowControl/>
        <w:spacing w:after="0" w:line="240" w:lineRule="auto"/>
        <w:ind w:firstLine="420"/>
        <w:rPr>
          <w:rFonts w:hint="eastAsia" w:ascii="宋体" w:hAnsi="宋体" w:cs="宋体"/>
        </w:rPr>
      </w:pPr>
      <w:r>
        <w:rPr>
          <w:rFonts w:hint="eastAsia" w:ascii="宋体" w:hAnsi="宋体" w:cs="宋体"/>
          <w:lang w:bidi="ar"/>
        </w:rPr>
        <w:t>[来源: ISO 14064-2:2019，3.1.7]</w:t>
      </w:r>
    </w:p>
    <w:p>
      <w:pPr>
        <w:pStyle w:val="288"/>
        <w:numPr>
          <w:ilvl w:val="2"/>
          <w:numId w:val="33"/>
        </w:numPr>
        <w:tabs>
          <w:tab w:val="left" w:pos="839"/>
        </w:tabs>
        <w:spacing w:line="240" w:lineRule="auto"/>
      </w:pPr>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bookmarkStart w:id="234" w:name="_Toc152871523"/>
      <w:bookmarkStart w:id="235" w:name="_Toc152919809"/>
      <w:bookmarkStart w:id="236" w:name="_Toc152871422"/>
      <w:bookmarkStart w:id="237" w:name="_Toc152786112"/>
      <w:bookmarkStart w:id="238" w:name="_Toc153186154"/>
      <w:r>
        <w:rPr>
          <w:rFonts w:hint="eastAsia" w:ascii="黑体" w:hAnsi="黑体" w:eastAsia="黑体" w:cs="黑体"/>
          <w:b w:val="0"/>
          <w:bCs w:val="0"/>
          <w:sz w:val="21"/>
          <w:szCs w:val="21"/>
        </w:rPr>
        <w:t>碳配额 carbon allowance</w:t>
      </w:r>
      <w:bookmarkEnd w:id="234"/>
      <w:bookmarkEnd w:id="235"/>
      <w:bookmarkEnd w:id="236"/>
      <w:bookmarkEnd w:id="237"/>
      <w:bookmarkEnd w:id="238"/>
    </w:p>
    <w:p>
      <w:pPr>
        <w:pStyle w:val="15"/>
        <w:spacing w:after="0" w:line="240" w:lineRule="auto"/>
        <w:ind w:firstLine="420"/>
      </w:pPr>
      <w:r>
        <w:rPr>
          <w:rFonts w:hint="eastAsia"/>
        </w:rPr>
        <w:t>主管部门基于国家控制温室气体排放目标的要求，向被纳入温室气体减排管控范围的重点排放单位分配的规定时期内的碳排放额度。</w:t>
      </w:r>
    </w:p>
    <w:p>
      <w:pPr>
        <w:pStyle w:val="187"/>
        <w:numPr>
          <w:ilvl w:val="0"/>
          <w:numId w:val="0"/>
        </w:numPr>
        <w:ind w:left="717" w:leftChars="170" w:hanging="360" w:hangingChars="200"/>
      </w:pPr>
      <w:r>
        <w:rPr>
          <w:rFonts w:ascii="黑体" w:eastAsia="黑体"/>
        </w:rPr>
        <w:t>注：</w:t>
      </w:r>
      <w:r>
        <w:rPr>
          <w:rFonts w:hint="eastAsia"/>
        </w:rPr>
        <w:t>1单位碳配额相当于1吨二氧化碳当量的碳排放额度。</w:t>
      </w:r>
    </w:p>
    <w:p>
      <w:pPr>
        <w:pStyle w:val="15"/>
        <w:widowControl/>
        <w:spacing w:after="0" w:line="240" w:lineRule="auto"/>
        <w:ind w:firstLine="420"/>
        <w:rPr>
          <w:rFonts w:hint="eastAsia" w:ascii="宋体" w:hAnsi="宋体" w:cs="宋体"/>
        </w:rPr>
      </w:pPr>
      <w:r>
        <w:rPr>
          <w:rFonts w:hint="eastAsia" w:ascii="宋体" w:hAnsi="宋体" w:cs="宋体"/>
        </w:rPr>
        <w:t>[来源：JR/T 0244—2022，3.2，有修改]</w:t>
      </w:r>
    </w:p>
    <w:p>
      <w:pPr>
        <w:pStyle w:val="288"/>
        <w:numPr>
          <w:ilvl w:val="2"/>
          <w:numId w:val="33"/>
        </w:numPr>
        <w:tabs>
          <w:tab w:val="left" w:pos="839"/>
        </w:tabs>
        <w:spacing w:line="240" w:lineRule="auto"/>
      </w:pPr>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碳信用 offset credits</w:t>
      </w:r>
    </w:p>
    <w:p>
      <w:pPr>
        <w:pStyle w:val="64"/>
        <w:ind w:firstLine="420" w:firstLineChars="200"/>
      </w:pPr>
      <w:r>
        <w:rPr>
          <w:rFonts w:hint="eastAsia"/>
        </w:rPr>
        <w:t>项目主体依据相关方法学，开发温室气体自愿减排项目，经过第三方的审定和核查，依据其实现的温室气体减排量化效果所获得签发的减排量。</w:t>
      </w:r>
    </w:p>
    <w:p>
      <w:pPr>
        <w:pStyle w:val="187"/>
        <w:numPr>
          <w:ilvl w:val="0"/>
          <w:numId w:val="0"/>
        </w:numPr>
        <w:ind w:left="717" w:leftChars="170" w:hanging="360" w:hangingChars="200"/>
      </w:pPr>
      <w:r>
        <w:rPr>
          <w:rFonts w:ascii="黑体" w:eastAsia="黑体"/>
        </w:rPr>
        <w:t>注：</w:t>
      </w:r>
      <w:r>
        <w:rPr>
          <w:rFonts w:hint="eastAsia"/>
        </w:rPr>
        <w:t>国内主要的碳信用为“国家核证自愿减排量”（CCER）及其他地方主管部门批准的碳普惠减排量，国际上主要的碳信用包括核证减排量（CER）、国际自愿碳抵消（VER）、核证减排量（</w:t>
      </w:r>
      <w:r>
        <w:t>VCU</w:t>
      </w:r>
      <w:r>
        <w:rPr>
          <w:rFonts w:hint="eastAsia"/>
        </w:rPr>
        <w:t>）等。</w:t>
      </w:r>
    </w:p>
    <w:p>
      <w:pPr>
        <w:pStyle w:val="15"/>
        <w:widowControl/>
        <w:spacing w:after="0" w:line="240" w:lineRule="auto"/>
        <w:ind w:firstLine="420"/>
        <w:rPr>
          <w:rFonts w:hint="eastAsia" w:ascii="宋体" w:hAnsi="宋体" w:cs="宋体"/>
        </w:rPr>
      </w:pPr>
      <w:r>
        <w:rPr>
          <w:rFonts w:hint="eastAsia" w:ascii="宋体" w:hAnsi="宋体" w:cs="宋体"/>
        </w:rPr>
        <w:t>[来源：JR/T 0244—2022，3.8，有修改]</w:t>
      </w:r>
    </w:p>
    <w:p>
      <w:pPr>
        <w:pStyle w:val="288"/>
        <w:numPr>
          <w:ilvl w:val="2"/>
          <w:numId w:val="33"/>
        </w:numPr>
        <w:tabs>
          <w:tab w:val="left" w:pos="839"/>
        </w:tabs>
        <w:spacing w:line="240" w:lineRule="auto"/>
      </w:pPr>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碳金融 carbon finance</w:t>
      </w:r>
    </w:p>
    <w:p>
      <w:pPr>
        <w:pStyle w:val="15"/>
        <w:spacing w:after="0" w:line="240" w:lineRule="auto"/>
        <w:ind w:firstLine="420"/>
      </w:pPr>
      <w:r>
        <w:rPr>
          <w:rFonts w:hint="eastAsia"/>
        </w:rPr>
        <w:t>服务于旨在减少碳排放或者增加碳汇能力的商业活动而产生的金融交易与资金融通活动。</w:t>
      </w:r>
    </w:p>
    <w:p>
      <w:pPr>
        <w:pStyle w:val="15"/>
        <w:widowControl/>
        <w:spacing w:after="0" w:line="240" w:lineRule="auto"/>
        <w:ind w:firstLine="420"/>
        <w:rPr>
          <w:rFonts w:hint="eastAsia" w:ascii="宋体" w:hAnsi="宋体" w:cs="宋体"/>
        </w:rPr>
      </w:pPr>
      <w:r>
        <w:rPr>
          <w:rFonts w:hint="eastAsia" w:ascii="宋体" w:hAnsi="宋体" w:cs="宋体"/>
        </w:rPr>
        <w:t>[来源：JR/T 0244—2022，3.6，有修改]</w:t>
      </w:r>
    </w:p>
    <w:p>
      <w:pPr>
        <w:pStyle w:val="288"/>
        <w:numPr>
          <w:ilvl w:val="2"/>
          <w:numId w:val="33"/>
        </w:numPr>
        <w:tabs>
          <w:tab w:val="left" w:pos="839"/>
        </w:tabs>
        <w:spacing w:line="240" w:lineRule="auto"/>
      </w:pPr>
      <w:bookmarkStart w:id="239" w:name="_Toc151494477"/>
      <w:bookmarkStart w:id="240" w:name="_Toc151493991"/>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过程排放 process emission</w:t>
      </w:r>
      <w:bookmarkEnd w:id="233"/>
      <w:bookmarkEnd w:id="239"/>
      <w:bookmarkEnd w:id="240"/>
    </w:p>
    <w:p>
      <w:pPr>
        <w:pStyle w:val="15"/>
        <w:spacing w:after="0" w:line="240" w:lineRule="auto"/>
        <w:ind w:firstLine="420"/>
      </w:pPr>
      <w:r>
        <w:rPr>
          <w:rFonts w:hint="eastAsia"/>
        </w:rPr>
        <w:t>在生产、废弃物处理处置等过程中除碳排放之外的物理或化学变化造成的碳排放。</w:t>
      </w:r>
    </w:p>
    <w:p>
      <w:pPr>
        <w:pStyle w:val="15"/>
        <w:widowControl/>
        <w:spacing w:after="0" w:line="240" w:lineRule="auto"/>
        <w:ind w:firstLine="420"/>
        <w:rPr>
          <w:rFonts w:hint="eastAsia" w:ascii="宋体" w:hAnsi="宋体" w:cs="宋体"/>
        </w:rPr>
      </w:pPr>
      <w:r>
        <w:rPr>
          <w:rFonts w:hint="eastAsia" w:ascii="宋体" w:hAnsi="宋体" w:cs="宋体"/>
        </w:rPr>
        <w:t>[来源：GB/T 32150-2015，3.8，有修改]</w:t>
      </w:r>
    </w:p>
    <w:p>
      <w:pPr>
        <w:pStyle w:val="288"/>
        <w:numPr>
          <w:ilvl w:val="2"/>
          <w:numId w:val="33"/>
        </w:numPr>
        <w:tabs>
          <w:tab w:val="left" w:pos="839"/>
        </w:tabs>
        <w:spacing w:line="240" w:lineRule="auto"/>
      </w:pPr>
      <w:bookmarkStart w:id="241" w:name="_Toc152871524"/>
      <w:bookmarkEnd w:id="241"/>
      <w:bookmarkStart w:id="242" w:name="_Toc151494480"/>
      <w:bookmarkEnd w:id="242"/>
      <w:bookmarkStart w:id="243" w:name="_Toc153186155"/>
      <w:bookmarkEnd w:id="243"/>
      <w:bookmarkStart w:id="244" w:name="_Toc152786113"/>
      <w:bookmarkEnd w:id="244"/>
      <w:bookmarkStart w:id="245" w:name="_Toc151494479"/>
      <w:bookmarkEnd w:id="245"/>
      <w:bookmarkStart w:id="246" w:name="_Toc152919810"/>
      <w:bookmarkEnd w:id="246"/>
      <w:bookmarkStart w:id="247" w:name="_Toc152786114"/>
      <w:bookmarkEnd w:id="247"/>
      <w:bookmarkStart w:id="248" w:name="_Toc151493994"/>
      <w:bookmarkEnd w:id="248"/>
      <w:bookmarkStart w:id="249" w:name="_Toc151493992"/>
      <w:bookmarkEnd w:id="249"/>
      <w:bookmarkStart w:id="250" w:name="_Toc152786356"/>
      <w:bookmarkEnd w:id="250"/>
      <w:bookmarkStart w:id="251" w:name="_Toc151494478"/>
      <w:bookmarkEnd w:id="251"/>
      <w:bookmarkStart w:id="252" w:name="_Toc152871423"/>
      <w:bookmarkEnd w:id="252"/>
      <w:bookmarkStart w:id="253" w:name="_Toc151493993"/>
      <w:bookmarkEnd w:id="253"/>
      <w:bookmarkStart w:id="254" w:name="_Toc152786357"/>
      <w:bookmarkEnd w:id="254"/>
      <w:bookmarkStart w:id="255" w:name="_Toc152786115"/>
      <w:bookmarkEnd w:id="255"/>
      <w:bookmarkStart w:id="256" w:name="_Toc144924102"/>
    </w:p>
    <w:bookmarkEnd w:id="256"/>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r>
        <w:rPr>
          <w:rFonts w:hint="eastAsia" w:ascii="黑体" w:hAnsi="黑体" w:eastAsia="黑体" w:cs="黑体"/>
          <w:b w:val="0"/>
          <w:bCs w:val="0"/>
          <w:sz w:val="21"/>
          <w:szCs w:val="21"/>
        </w:rPr>
        <w:t>排放因子emission factor</w:t>
      </w:r>
    </w:p>
    <w:p>
      <w:pPr>
        <w:pStyle w:val="15"/>
        <w:spacing w:after="0" w:line="240" w:lineRule="auto"/>
        <w:ind w:firstLine="420"/>
      </w:pPr>
      <w:r>
        <w:rPr>
          <w:rFonts w:hint="eastAsia"/>
        </w:rPr>
        <w:t>生产或消费活动量的碳排放的系数。</w:t>
      </w:r>
    </w:p>
    <w:p>
      <w:pPr>
        <w:pStyle w:val="15"/>
        <w:widowControl/>
        <w:spacing w:after="0" w:line="240" w:lineRule="auto"/>
        <w:ind w:firstLine="420"/>
        <w:rPr>
          <w:rFonts w:hint="eastAsia" w:ascii="宋体" w:hAnsi="宋体" w:cs="宋体"/>
        </w:rPr>
      </w:pPr>
      <w:r>
        <w:rPr>
          <w:rFonts w:hint="eastAsia" w:ascii="宋体" w:hAnsi="宋体" w:cs="宋体"/>
        </w:rPr>
        <w:t>[来源：GB/T 32150-2015，3.13，有修改]</w:t>
      </w:r>
    </w:p>
    <w:p>
      <w:pPr>
        <w:pStyle w:val="288"/>
        <w:numPr>
          <w:ilvl w:val="2"/>
          <w:numId w:val="33"/>
        </w:numPr>
        <w:tabs>
          <w:tab w:val="left" w:pos="839"/>
        </w:tabs>
        <w:spacing w:line="240" w:lineRule="auto"/>
      </w:pPr>
      <w:bookmarkStart w:id="257" w:name="_Toc152786117"/>
      <w:bookmarkEnd w:id="257"/>
      <w:bookmarkStart w:id="258" w:name="_Toc152871525"/>
      <w:bookmarkEnd w:id="258"/>
      <w:bookmarkStart w:id="259" w:name="_Toc151494483"/>
      <w:bookmarkEnd w:id="259"/>
      <w:bookmarkStart w:id="260" w:name="_Toc151493997"/>
      <w:bookmarkEnd w:id="260"/>
      <w:bookmarkStart w:id="261" w:name="_Toc151493996"/>
      <w:bookmarkEnd w:id="261"/>
      <w:bookmarkStart w:id="262" w:name="_Toc152786359"/>
      <w:bookmarkEnd w:id="262"/>
      <w:bookmarkStart w:id="263" w:name="_Toc151494482"/>
      <w:bookmarkEnd w:id="263"/>
      <w:bookmarkStart w:id="264" w:name="_Toc152786116"/>
      <w:bookmarkEnd w:id="264"/>
      <w:bookmarkStart w:id="265" w:name="_Toc151494481"/>
      <w:bookmarkEnd w:id="265"/>
      <w:bookmarkStart w:id="266" w:name="_Toc151493995"/>
      <w:bookmarkEnd w:id="266"/>
      <w:bookmarkStart w:id="267" w:name="_Toc152786360"/>
      <w:bookmarkEnd w:id="267"/>
      <w:bookmarkStart w:id="268" w:name="_Toc152871424"/>
      <w:bookmarkEnd w:id="268"/>
      <w:bookmarkStart w:id="269" w:name="_Toc152919811"/>
      <w:bookmarkEnd w:id="269"/>
      <w:bookmarkStart w:id="270" w:name="_Toc152786118"/>
      <w:bookmarkEnd w:id="270"/>
      <w:bookmarkStart w:id="271" w:name="_Toc153186156"/>
      <w:bookmarkEnd w:id="271"/>
      <w:bookmarkStart w:id="272" w:name="_Toc144924104"/>
    </w:p>
    <w:p>
      <w:pPr>
        <w:pStyle w:val="288"/>
        <w:numPr>
          <w:ilvl w:val="2"/>
          <w:numId w:val="0"/>
        </w:numPr>
        <w:tabs>
          <w:tab w:val="left" w:pos="839"/>
        </w:tabs>
        <w:spacing w:line="240" w:lineRule="auto"/>
        <w:ind w:firstLine="420" w:firstLineChars="200"/>
        <w:rPr>
          <w:rFonts w:hint="eastAsia" w:ascii="黑体" w:hAnsi="黑体" w:eastAsia="黑体" w:cs="黑体"/>
          <w:b w:val="0"/>
          <w:bCs w:val="0"/>
          <w:sz w:val="21"/>
          <w:szCs w:val="21"/>
        </w:rPr>
      </w:pPr>
      <w:bookmarkStart w:id="273" w:name="_Toc152871425"/>
      <w:bookmarkStart w:id="274" w:name="_Toc153186157"/>
      <w:bookmarkStart w:id="275" w:name="_Toc151494484"/>
      <w:bookmarkStart w:id="276" w:name="_Toc152871526"/>
      <w:bookmarkStart w:id="277" w:name="_Toc152919812"/>
      <w:bookmarkStart w:id="278" w:name="_Toc152786119"/>
      <w:bookmarkStart w:id="279" w:name="_Toc151493998"/>
      <w:r>
        <w:rPr>
          <w:rFonts w:hint="eastAsia" w:ascii="黑体" w:hAnsi="黑体" w:eastAsia="黑体" w:cs="黑体"/>
          <w:b w:val="0"/>
          <w:bCs w:val="0"/>
          <w:sz w:val="21"/>
          <w:szCs w:val="21"/>
        </w:rPr>
        <w:t>基准年 base year</w:t>
      </w:r>
      <w:bookmarkEnd w:id="272"/>
      <w:bookmarkEnd w:id="273"/>
      <w:bookmarkEnd w:id="274"/>
      <w:bookmarkEnd w:id="275"/>
      <w:bookmarkEnd w:id="276"/>
      <w:bookmarkEnd w:id="277"/>
      <w:bookmarkEnd w:id="278"/>
      <w:bookmarkEnd w:id="279"/>
    </w:p>
    <w:p>
      <w:pPr>
        <w:pStyle w:val="15"/>
        <w:spacing w:after="0" w:line="240" w:lineRule="auto"/>
        <w:ind w:firstLine="420"/>
      </w:pPr>
      <w:r>
        <w:rPr>
          <w:rFonts w:hint="eastAsia"/>
        </w:rPr>
        <w:t>用作比较碳排放绩效的定量参考依据。</w:t>
      </w:r>
    </w:p>
    <w:p>
      <w:pPr>
        <w:pStyle w:val="64"/>
        <w:ind w:firstLine="420" w:firstLineChars="200"/>
      </w:pPr>
      <w:r>
        <w:rPr>
          <w:rFonts w:hint="eastAsia"/>
        </w:rPr>
        <w:t>[来源：</w:t>
      </w:r>
      <w:r>
        <w:rPr>
          <w:color w:val="000000" w:themeColor="text1"/>
          <w14:textFill>
            <w14:solidFill>
              <w14:schemeClr w14:val="tx1"/>
            </w14:solidFill>
          </w14:textFill>
        </w:rPr>
        <w:t>GB/T 23331-2020</w:t>
      </w:r>
      <w:r>
        <w:rPr>
          <w:rFonts w:hint="eastAsia"/>
        </w:rPr>
        <w:t>，3</w:t>
      </w:r>
      <w:r>
        <w:t>.4.7</w:t>
      </w:r>
      <w:r>
        <w:rPr>
          <w:rFonts w:hint="eastAsia"/>
        </w:rPr>
        <w:t>，有修改]</w:t>
      </w:r>
    </w:p>
    <w:bookmarkEnd w:id="68"/>
    <w:bookmarkEnd w:id="70"/>
    <w:p>
      <w:pPr>
        <w:pStyle w:val="112"/>
        <w:numPr>
          <w:ilvl w:val="0"/>
          <w:numId w:val="33"/>
        </w:numPr>
        <w:spacing w:before="312" w:after="312"/>
        <w:ind w:left="0"/>
      </w:pPr>
      <w:bookmarkStart w:id="280" w:name="_Toc151494487"/>
      <w:bookmarkEnd w:id="280"/>
      <w:bookmarkStart w:id="281" w:name="_Toc151494489"/>
      <w:bookmarkEnd w:id="281"/>
      <w:bookmarkStart w:id="282" w:name="_Toc151494001"/>
      <w:bookmarkEnd w:id="282"/>
      <w:bookmarkStart w:id="283" w:name="_Toc151494491"/>
      <w:bookmarkEnd w:id="283"/>
      <w:bookmarkStart w:id="284" w:name="_Toc151494005"/>
      <w:bookmarkEnd w:id="284"/>
      <w:bookmarkStart w:id="285" w:name="_Toc144924111"/>
      <w:bookmarkEnd w:id="285"/>
      <w:bookmarkStart w:id="286" w:name="_Toc151494003"/>
      <w:bookmarkEnd w:id="286"/>
      <w:bookmarkStart w:id="287" w:name="_Toc151494007"/>
      <w:bookmarkStart w:id="288" w:name="_Toc144924112"/>
      <w:bookmarkStart w:id="289" w:name="_Toc153186158"/>
      <w:bookmarkStart w:id="290" w:name="_Hlk146284143"/>
      <w:r>
        <w:rPr>
          <w:rFonts w:hint="eastAsia"/>
        </w:rPr>
        <w:t>组织所处的环境</w:t>
      </w:r>
      <w:bookmarkEnd w:id="287"/>
      <w:bookmarkEnd w:id="288"/>
      <w:bookmarkEnd w:id="289"/>
    </w:p>
    <w:bookmarkEnd w:id="290"/>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291" w:name="_Toc110619283"/>
      <w:bookmarkStart w:id="292" w:name="_Toc110619450"/>
      <w:bookmarkStart w:id="293" w:name="_Toc151494008"/>
      <w:bookmarkStart w:id="294" w:name="_Toc153186159"/>
      <w:bookmarkStart w:id="295" w:name="_Toc144924113"/>
      <w:bookmarkStart w:id="296" w:name="_Hlk151510787"/>
      <w:bookmarkStart w:id="297" w:name="_Hlk146284184"/>
      <w:r>
        <w:rPr>
          <w:rFonts w:hint="eastAsia" w:hAnsi="黑体" w:cs="Arial"/>
          <w:color w:val="000000" w:themeColor="text1"/>
          <w14:textFill>
            <w14:solidFill>
              <w14:schemeClr w14:val="tx1"/>
            </w14:solidFill>
          </w14:textFill>
        </w:rPr>
        <w:t>理解组织</w:t>
      </w:r>
      <w:bookmarkEnd w:id="291"/>
      <w:bookmarkEnd w:id="292"/>
      <w:r>
        <w:rPr>
          <w:rFonts w:hint="eastAsia" w:hAnsi="黑体" w:cs="Arial"/>
          <w:color w:val="000000" w:themeColor="text1"/>
          <w14:textFill>
            <w14:solidFill>
              <w14:schemeClr w14:val="tx1"/>
            </w14:solidFill>
          </w14:textFill>
        </w:rPr>
        <w:t>及其所处的环境</w:t>
      </w:r>
      <w:bookmarkEnd w:id="293"/>
      <w:bookmarkEnd w:id="294"/>
      <w:bookmarkEnd w:id="295"/>
    </w:p>
    <w:bookmarkEnd w:id="296"/>
    <w:p>
      <w:pPr>
        <w:pStyle w:val="15"/>
        <w:spacing w:after="0" w:line="240" w:lineRule="auto"/>
        <w:ind w:firstLine="420"/>
      </w:pPr>
      <w:r>
        <w:rPr>
          <w:rFonts w:hint="eastAsia"/>
        </w:rPr>
        <w:t>组织应确定与其宗旨相关并影响其实现碳排放管理体系预期结果和改进碳排放绩效的能力的外部和内部问题。问题应包括受组织影响的或能够影响组织的碳排放状况。</w:t>
      </w:r>
    </w:p>
    <w:p>
      <w:pPr>
        <w:pStyle w:val="188"/>
      </w:pPr>
      <w:r>
        <w:rPr>
          <w:rFonts w:hint="eastAsia"/>
        </w:rPr>
        <w:t>“问题”指的是“争论或讨论的一个重要专题或难题”，可对组织产生正面或负面的影响。</w:t>
      </w:r>
    </w:p>
    <w:p>
      <w:pPr>
        <w:pStyle w:val="188"/>
      </w:pPr>
      <w:r>
        <w:rPr>
          <w:rFonts w:hint="eastAsia"/>
        </w:rPr>
        <w:t>组织可考虑关于碳排放管理的问题示例：</w:t>
      </w:r>
    </w:p>
    <w:p>
      <w:pPr>
        <w:pStyle w:val="188"/>
        <w:numPr>
          <w:ilvl w:val="0"/>
          <w:numId w:val="0"/>
        </w:numPr>
        <w:ind w:left="840" w:leftChars="400"/>
      </w:pPr>
      <w:r>
        <w:rPr>
          <w:rFonts w:hint="eastAsia"/>
        </w:rPr>
        <w:t>--外部问题：文化的、社会的、环境的、政治的、法律的、法规的、金融的、技术的、经济的、自然与竞争因素的，无论与国际的、国家的、地区的有关的或是与当地有关的。</w:t>
      </w:r>
    </w:p>
    <w:p>
      <w:pPr>
        <w:pStyle w:val="188"/>
        <w:numPr>
          <w:ilvl w:val="0"/>
          <w:numId w:val="0"/>
        </w:numPr>
        <w:ind w:left="426" w:firstLine="360" w:firstLineChars="200"/>
      </w:pPr>
      <w:r>
        <w:rPr>
          <w:rFonts w:hint="eastAsia"/>
        </w:rPr>
        <w:t>--内部问题：组织的认同（包括其期望、使命、价值观）、治理、结构、政策、资源、能力、人员及财务。</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298" w:name="_Toc110619456"/>
      <w:bookmarkStart w:id="299" w:name="_Toc110619289"/>
      <w:bookmarkStart w:id="300" w:name="_Toc153186160"/>
      <w:bookmarkStart w:id="301" w:name="_Toc151494009"/>
      <w:bookmarkStart w:id="302" w:name="_Toc144924114"/>
      <w:bookmarkStart w:id="303" w:name="_Hlk151510811"/>
      <w:r>
        <w:rPr>
          <w:rFonts w:hint="eastAsia" w:hAnsi="黑体" w:cs="Arial"/>
          <w:color w:val="000000" w:themeColor="text1"/>
          <w14:textFill>
            <w14:solidFill>
              <w14:schemeClr w14:val="tx1"/>
            </w14:solidFill>
          </w14:textFill>
        </w:rPr>
        <w:t>理解相关方的需求和期望</w:t>
      </w:r>
      <w:bookmarkEnd w:id="298"/>
      <w:bookmarkEnd w:id="299"/>
      <w:bookmarkEnd w:id="300"/>
      <w:bookmarkEnd w:id="301"/>
      <w:bookmarkEnd w:id="302"/>
    </w:p>
    <w:bookmarkEnd w:id="303"/>
    <w:p>
      <w:pPr>
        <w:pStyle w:val="15"/>
        <w:spacing w:after="0" w:line="240" w:lineRule="auto"/>
        <w:ind w:firstLine="420"/>
      </w:pPr>
      <w:r>
        <w:rPr>
          <w:rFonts w:hint="eastAsia"/>
        </w:rPr>
        <w:t>组织应确定：</w:t>
      </w:r>
    </w:p>
    <w:p>
      <w:pPr>
        <w:pStyle w:val="182"/>
      </w:pPr>
      <w:r>
        <w:rPr>
          <w:rFonts w:hint="eastAsia"/>
        </w:rPr>
        <w:t>与碳排放管理体系有关的相关方</w:t>
      </w:r>
      <w:r>
        <w:rPr>
          <w:vertAlign w:val="superscript"/>
        </w:rPr>
        <w:t>1</w:t>
      </w:r>
      <w:r>
        <w:rPr>
          <w:rFonts w:hint="eastAsia"/>
        </w:rPr>
        <w:t>；</w:t>
      </w:r>
    </w:p>
    <w:p>
      <w:pPr>
        <w:pStyle w:val="182"/>
      </w:pPr>
      <w:r>
        <w:rPr>
          <w:rFonts w:hint="eastAsia"/>
        </w:rPr>
        <w:t>相关方的有关需求</w:t>
      </w:r>
      <w:r>
        <w:rPr>
          <w:vertAlign w:val="superscript"/>
        </w:rPr>
        <w:t>2</w:t>
      </w:r>
      <w:r>
        <w:rPr>
          <w:rFonts w:hint="eastAsia"/>
        </w:rPr>
        <w:t>；</w:t>
      </w:r>
    </w:p>
    <w:p>
      <w:pPr>
        <w:pStyle w:val="182"/>
      </w:pPr>
      <w:r>
        <w:rPr>
          <w:rFonts w:hint="eastAsia"/>
        </w:rPr>
        <w:t>组织需通过碳排放管理体系落实的需求、期望以及合规义务。</w:t>
      </w:r>
    </w:p>
    <w:p>
      <w:pPr>
        <w:pStyle w:val="188"/>
        <w:numPr>
          <w:ilvl w:val="0"/>
          <w:numId w:val="34"/>
        </w:numPr>
      </w:pPr>
      <w:r>
        <w:rPr>
          <w:rFonts w:hint="eastAsia"/>
        </w:rPr>
        <w:t>组织宜考虑的潜在相关方包括但不限于：监管部门（当地的、地区的、国家的、国际的）、上级或下级组织、客户、行业及专业协会、社会团体、非政府组织、供应商、近邻、合伙人、工作人员（工作代表、学徒以及其他代表组织工作的人员）、所有者（或投资者）、竞争对手、学术界与研究人员。</w:t>
      </w:r>
    </w:p>
    <w:p>
      <w:pPr>
        <w:pStyle w:val="188"/>
      </w:pPr>
      <w:r>
        <w:rPr>
          <w:rFonts w:hint="eastAsia"/>
        </w:rPr>
        <w:t>组织宜考虑的相关方需求包括但不限于：适用的法律法规、文件证明（许可证、执照或批准的其他形式）、法院（或行政法庭）判决、组织所属的一个更大实体的需求、公约条款（条约、公约及议定书）、行业规范标准、已签订合同、签立协议（与消费者、社会团体或非政府组织的）、签立协议（与政府当局和客户的）、采用自愿原则或行为守则的需求、自愿性标记（或生态环境承诺）、在与该组织的合同安排下所产生的义务。</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04" w:name="_Toc144924115"/>
      <w:bookmarkStart w:id="305" w:name="_Toc151494010"/>
      <w:bookmarkStart w:id="306" w:name="_Toc153186161"/>
      <w:r>
        <w:rPr>
          <w:rFonts w:hint="eastAsia" w:hAnsi="黑体" w:cs="Arial"/>
          <w:color w:val="000000" w:themeColor="text1"/>
          <w14:textFill>
            <w14:solidFill>
              <w14:schemeClr w14:val="tx1"/>
            </w14:solidFill>
          </w14:textFill>
        </w:rPr>
        <w:t>确定碳排放管理体系的范围</w:t>
      </w:r>
      <w:bookmarkEnd w:id="304"/>
      <w:bookmarkEnd w:id="305"/>
      <w:bookmarkEnd w:id="306"/>
    </w:p>
    <w:p>
      <w:pPr>
        <w:pStyle w:val="15"/>
        <w:spacing w:after="0" w:line="240" w:lineRule="auto"/>
        <w:ind w:firstLine="420" w:firstLineChars="200"/>
      </w:pPr>
      <w:r>
        <w:rPr>
          <w:rFonts w:hint="eastAsia"/>
        </w:rPr>
        <w:t>组织应确定碳排放管理体系的组织边界和适用性</w:t>
      </w:r>
      <w:r>
        <w:rPr>
          <w:vertAlign w:val="superscript"/>
        </w:rPr>
        <w:t>1</w:t>
      </w:r>
      <w:r>
        <w:rPr>
          <w:rFonts w:hint="eastAsia"/>
        </w:rPr>
        <w:t>，以确定其范围。</w:t>
      </w:r>
    </w:p>
    <w:p>
      <w:pPr>
        <w:pStyle w:val="15"/>
        <w:spacing w:after="0" w:line="240" w:lineRule="auto"/>
        <w:ind w:firstLine="420" w:firstLineChars="200"/>
      </w:pPr>
      <w:r>
        <w:rPr>
          <w:rFonts w:hint="eastAsia"/>
        </w:rPr>
        <w:t>在确定这个范围时，组织应考虑：</w:t>
      </w:r>
    </w:p>
    <w:p>
      <w:pPr>
        <w:pStyle w:val="182"/>
        <w:numPr>
          <w:ilvl w:val="0"/>
          <w:numId w:val="35"/>
        </w:numPr>
      </w:pPr>
      <w:r>
        <w:rPr>
          <w:rFonts w:hint="eastAsia"/>
        </w:rPr>
        <w:t>在4.1中被提及的外部和内部问题；</w:t>
      </w:r>
    </w:p>
    <w:p>
      <w:pPr>
        <w:pStyle w:val="182"/>
      </w:pPr>
      <w:r>
        <w:rPr>
          <w:rFonts w:hint="eastAsia"/>
        </w:rPr>
        <w:t>在4.2中被提及的需求、期望及合规义务。</w:t>
      </w:r>
    </w:p>
    <w:p>
      <w:pPr>
        <w:pStyle w:val="64"/>
        <w:ind w:firstLine="420" w:firstLineChars="200"/>
      </w:pPr>
      <w:r>
        <w:rPr>
          <w:rFonts w:hint="eastAsia"/>
        </w:rPr>
        <w:t>范围</w:t>
      </w:r>
      <w:r>
        <w:rPr>
          <w:vertAlign w:val="superscript"/>
        </w:rPr>
        <w:t>2</w:t>
      </w:r>
      <w:r>
        <w:rPr>
          <w:rFonts w:hint="eastAsia"/>
        </w:rPr>
        <w:t>一经界定，该范围内组织的所有活动、产品和服务均应纳入碳排放管理体系。碳排放管理体系的范围和边界应作为文件化信息予以保留并对碳排放管理体系标准某条要求不适用的情况加以说明。</w:t>
      </w:r>
    </w:p>
    <w:p>
      <w:pPr>
        <w:pStyle w:val="188"/>
        <w:numPr>
          <w:ilvl w:val="0"/>
          <w:numId w:val="36"/>
        </w:numPr>
      </w:pPr>
      <w:r>
        <w:rPr>
          <w:rFonts w:hint="eastAsia"/>
        </w:rPr>
        <w:t>组织的碳排放管理体系取决于其边界和适用性的界定。该范围的文件化信息宜是对组织包括在碳排放管理体系边界内的业务流程和运行过程真实且具有代表性的陈述，不宜误导相关方。</w:t>
      </w:r>
    </w:p>
    <w:p>
      <w:pPr>
        <w:pStyle w:val="188"/>
      </w:pPr>
      <w:r>
        <w:rPr>
          <w:rFonts w:hint="eastAsia"/>
        </w:rPr>
        <w:t>组织最终确定的碳排放管理体系范围宜与国家及地方或组织所属行业的碳排放报告范围要求相一致，或与组织承诺的涵盖范围1、2、3的碳排放管控工作范围一致。</w:t>
      </w:r>
    </w:p>
    <w:p>
      <w:pPr>
        <w:pStyle w:val="188"/>
      </w:pPr>
      <w:r>
        <w:rPr>
          <w:rFonts w:hint="eastAsia"/>
        </w:rPr>
        <w:t>针对第三方机构的选择，优先根据国家或地方相关参考条件进行选取，其次在相关部门已备案名单中进行选取，从基本条件、业绩经验、内部管理制度等方面进行考察。</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07" w:name="_Toc151494011"/>
      <w:bookmarkEnd w:id="307"/>
      <w:bookmarkStart w:id="308" w:name="_Toc151494497"/>
      <w:bookmarkEnd w:id="308"/>
      <w:bookmarkStart w:id="309" w:name="_Toc151494012"/>
      <w:bookmarkStart w:id="310" w:name="_Toc153186162"/>
      <w:bookmarkStart w:id="311" w:name="_Toc144924116"/>
      <w:r>
        <w:rPr>
          <w:rFonts w:hint="eastAsia" w:hAnsi="黑体" w:cs="Arial"/>
          <w:color w:val="000000" w:themeColor="text1"/>
          <w14:textFill>
            <w14:solidFill>
              <w14:schemeClr w14:val="tx1"/>
            </w14:solidFill>
          </w14:textFill>
        </w:rPr>
        <w:t>建设碳排放管理体系</w:t>
      </w:r>
      <w:bookmarkEnd w:id="309"/>
      <w:bookmarkEnd w:id="310"/>
      <w:bookmarkEnd w:id="311"/>
    </w:p>
    <w:p>
      <w:pPr>
        <w:pStyle w:val="15"/>
        <w:spacing w:after="0" w:line="240" w:lineRule="auto"/>
        <w:ind w:firstLine="420"/>
      </w:pPr>
      <w:r>
        <w:rPr>
          <w:rFonts w:hint="eastAsia"/>
        </w:rPr>
        <w:t>组织应依照本文件的要求，策划、支持、运行、绩效评价、改进碳排放管理体系，包括所需的过程及其相互作用，并持续改进碳排放绩效。</w:t>
      </w:r>
    </w:p>
    <w:p>
      <w:pPr>
        <w:pStyle w:val="187"/>
        <w:numPr>
          <w:ilvl w:val="0"/>
          <w:numId w:val="0"/>
        </w:numPr>
        <w:ind w:left="420" w:hanging="374"/>
      </w:pPr>
      <w:r>
        <w:rPr>
          <w:rFonts w:ascii="黑体" w:eastAsia="黑体"/>
        </w:rPr>
        <w:t>注：</w:t>
      </w:r>
      <w:r>
        <w:rPr>
          <w:rFonts w:hint="eastAsia"/>
        </w:rPr>
        <w:t>不同组织所需的过程可能不同，取决于：</w:t>
      </w:r>
    </w:p>
    <w:p>
      <w:pPr>
        <w:pStyle w:val="187"/>
        <w:numPr>
          <w:ilvl w:val="0"/>
          <w:numId w:val="0"/>
        </w:numPr>
        <w:ind w:left="363" w:firstLine="360" w:firstLineChars="200"/>
      </w:pPr>
      <w:r>
        <w:rPr>
          <w:rFonts w:hint="eastAsia"/>
        </w:rPr>
        <w:t>——组织的规模和活动、过程、产品和服务的类型；</w:t>
      </w:r>
    </w:p>
    <w:p>
      <w:pPr>
        <w:pStyle w:val="187"/>
        <w:numPr>
          <w:ilvl w:val="0"/>
          <w:numId w:val="0"/>
        </w:numPr>
        <w:ind w:firstLine="720" w:firstLineChars="400"/>
      </w:pPr>
      <w:r>
        <w:rPr>
          <w:rFonts w:hint="eastAsia"/>
        </w:rPr>
        <w:t>——过程的复杂程度及其相互作用；</w:t>
      </w:r>
    </w:p>
    <w:p>
      <w:pPr>
        <w:pStyle w:val="187"/>
        <w:numPr>
          <w:ilvl w:val="0"/>
          <w:numId w:val="0"/>
        </w:numPr>
        <w:ind w:left="363" w:firstLine="360" w:firstLineChars="200"/>
      </w:pPr>
      <w:r>
        <w:rPr>
          <w:rFonts w:hint="eastAsia"/>
        </w:rPr>
        <w:t>——人员的能力。</w:t>
      </w:r>
      <w:bookmarkEnd w:id="297"/>
    </w:p>
    <w:p>
      <w:pPr>
        <w:pStyle w:val="112"/>
        <w:numPr>
          <w:ilvl w:val="0"/>
          <w:numId w:val="33"/>
        </w:numPr>
        <w:spacing w:before="312" w:after="312"/>
        <w:ind w:left="0"/>
      </w:pPr>
      <w:bookmarkStart w:id="312" w:name="_Hlk139296248"/>
      <w:bookmarkStart w:id="313" w:name="_Toc153186163"/>
      <w:bookmarkStart w:id="314" w:name="_Toc144924117"/>
      <w:bookmarkStart w:id="315" w:name="_Toc110619457"/>
      <w:bookmarkStart w:id="316" w:name="_Toc110619290"/>
      <w:bookmarkStart w:id="317" w:name="_Toc151494013"/>
      <w:r>
        <w:rPr>
          <w:rFonts w:hint="eastAsia"/>
        </w:rPr>
        <w:t>基本要求</w:t>
      </w:r>
      <w:bookmarkEnd w:id="312"/>
      <w:bookmarkEnd w:id="313"/>
      <w:bookmarkEnd w:id="314"/>
      <w:bookmarkEnd w:id="315"/>
      <w:bookmarkEnd w:id="316"/>
      <w:bookmarkEnd w:id="317"/>
    </w:p>
    <w:p>
      <w:pPr>
        <w:pStyle w:val="15"/>
        <w:spacing w:after="0" w:line="240" w:lineRule="auto"/>
        <w:ind w:firstLine="420"/>
      </w:pPr>
      <w:bookmarkStart w:id="318" w:name="_Hlk151510939"/>
      <w:r>
        <w:rPr>
          <w:rFonts w:hint="eastAsia"/>
        </w:rPr>
        <w:t>碳排放管理体系建设与评价指南的核心是持续改进碳排放绩效，提供评价指标标准参考，要求组织遵循“策划-实施运行-检查-改进”程序，针对碳排放管理活动进行有效策划并提供资源，通过实施控制及监测，发现问题及时改进，并将碳排放管理融入组织的日常活动中。为此，组织应：</w:t>
      </w:r>
      <w:bookmarkEnd w:id="318"/>
    </w:p>
    <w:p>
      <w:pPr>
        <w:pStyle w:val="182"/>
        <w:numPr>
          <w:ilvl w:val="0"/>
          <w:numId w:val="37"/>
        </w:numPr>
      </w:pPr>
      <w:r>
        <w:rPr>
          <w:rFonts w:hint="eastAsia"/>
        </w:rPr>
        <w:t>根据相关政策法规、社会责任等外部环境，以及自身需求、能力等内部环境，建立并运行碳排放管理体系；</w:t>
      </w:r>
    </w:p>
    <w:p>
      <w:pPr>
        <w:pStyle w:val="182"/>
      </w:pPr>
      <w:r>
        <w:rPr>
          <w:rFonts w:hint="eastAsia"/>
        </w:rPr>
        <w:t>根据所处地理位置、运营场所、组织结构等确定碳排放管理体系的范围和边界；</w:t>
      </w:r>
    </w:p>
    <w:p>
      <w:pPr>
        <w:pStyle w:val="182"/>
      </w:pPr>
      <w:r>
        <w:rPr>
          <w:rFonts w:hint="eastAsia"/>
        </w:rPr>
        <w:t>通过策划可行的方案，建立并运行相应的程序，以达到预期目的并持续改进碳排放绩效；</w:t>
      </w:r>
    </w:p>
    <w:p>
      <w:pPr>
        <w:pStyle w:val="182"/>
      </w:pPr>
      <w:r>
        <w:rPr>
          <w:rFonts w:hint="eastAsia"/>
        </w:rPr>
        <w:t>根据本文件的工作流程、指标体系、评价方法等定期启动组织自身管理评审。</w:t>
      </w:r>
    </w:p>
    <w:p>
      <w:pPr>
        <w:pStyle w:val="112"/>
        <w:numPr>
          <w:ilvl w:val="0"/>
          <w:numId w:val="33"/>
        </w:numPr>
        <w:spacing w:before="312" w:after="312"/>
        <w:ind w:left="0"/>
      </w:pPr>
      <w:bookmarkStart w:id="319" w:name="_Toc110619460"/>
      <w:bookmarkStart w:id="320" w:name="_Toc153186164"/>
      <w:bookmarkStart w:id="321" w:name="_Toc151494014"/>
      <w:bookmarkStart w:id="322" w:name="_Toc144924118"/>
      <w:bookmarkStart w:id="323" w:name="_Toc110619293"/>
      <w:bookmarkStart w:id="324" w:name="_Hlk139296267"/>
      <w:r>
        <w:rPr>
          <w:rFonts w:hint="eastAsia"/>
        </w:rPr>
        <w:t>领导作用</w:t>
      </w:r>
      <w:bookmarkEnd w:id="319"/>
      <w:bookmarkEnd w:id="320"/>
      <w:bookmarkEnd w:id="321"/>
      <w:bookmarkEnd w:id="322"/>
      <w:bookmarkEnd w:id="323"/>
    </w:p>
    <w:bookmarkEnd w:id="324"/>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25" w:name="_Hlk151511129"/>
      <w:bookmarkStart w:id="326" w:name="_Toc144924119"/>
      <w:bookmarkStart w:id="327" w:name="_Toc151494015"/>
      <w:bookmarkStart w:id="328" w:name="_Toc153186165"/>
      <w:bookmarkStart w:id="329" w:name="_Toc110619294"/>
      <w:bookmarkStart w:id="330" w:name="_Toc110619461"/>
      <w:bookmarkStart w:id="331" w:name="_Hlk139296280"/>
      <w:r>
        <w:rPr>
          <w:rFonts w:hint="eastAsia" w:hAnsi="黑体" w:cs="Arial"/>
          <w:color w:val="000000" w:themeColor="text1"/>
          <w14:textFill>
            <w14:solidFill>
              <w14:schemeClr w14:val="tx1"/>
            </w14:solidFill>
          </w14:textFill>
        </w:rPr>
        <w:t>领导作用和承</w:t>
      </w:r>
      <w:bookmarkEnd w:id="325"/>
      <w:r>
        <w:rPr>
          <w:rFonts w:hint="eastAsia" w:hAnsi="黑体" w:cs="Arial"/>
          <w:color w:val="000000" w:themeColor="text1"/>
          <w14:textFill>
            <w14:solidFill>
              <w14:schemeClr w14:val="tx1"/>
            </w14:solidFill>
          </w14:textFill>
        </w:rPr>
        <w:t>诺</w:t>
      </w:r>
      <w:bookmarkEnd w:id="326"/>
      <w:bookmarkEnd w:id="327"/>
      <w:bookmarkEnd w:id="328"/>
    </w:p>
    <w:p>
      <w:pPr>
        <w:pStyle w:val="15"/>
        <w:spacing w:after="0" w:line="240" w:lineRule="auto"/>
        <w:ind w:firstLine="420"/>
      </w:pPr>
      <w:r>
        <w:rPr>
          <w:rFonts w:hint="eastAsia"/>
        </w:rPr>
        <w:t>最高管理者应通过以下事项来证明其在碳排放管理体系方面的领导作用和承诺：</w:t>
      </w:r>
    </w:p>
    <w:p>
      <w:pPr>
        <w:pStyle w:val="182"/>
        <w:numPr>
          <w:ilvl w:val="0"/>
          <w:numId w:val="38"/>
        </w:numPr>
      </w:pPr>
      <w:r>
        <w:rPr>
          <w:rFonts w:hint="eastAsia"/>
        </w:rPr>
        <w:t>参与制定本组织碳排放管理发展规划，确保建立的碳排放管理方针和目标已被确立并与组织的策略导向一致，其中：</w:t>
      </w:r>
      <w:r>
        <w:rPr>
          <w:rFonts w:hint="eastAsia"/>
        </w:rPr>
        <w:tab/>
      </w:r>
    </w:p>
    <w:p>
      <w:pPr>
        <w:pStyle w:val="182"/>
        <w:numPr>
          <w:ilvl w:val="0"/>
          <w:numId w:val="0"/>
        </w:numPr>
        <w:ind w:left="851"/>
      </w:pPr>
      <w:r>
        <w:rPr>
          <w:rFonts w:hint="eastAsia"/>
        </w:rPr>
        <w:t>——建立，</w:t>
      </w:r>
      <w:r>
        <w:rPr>
          <w:rFonts w:hint="eastAsia"/>
          <w:color w:val="000000"/>
        </w:rPr>
        <w:t>识别和处理</w:t>
      </w:r>
      <w:r>
        <w:rPr>
          <w:rFonts w:hint="eastAsia"/>
        </w:rPr>
        <w:t>碳排放管理体系的范围和边界的</w:t>
      </w:r>
      <w:r>
        <w:rPr>
          <w:rFonts w:hint="eastAsia"/>
          <w:color w:val="000000"/>
        </w:rPr>
        <w:t>变化</w:t>
      </w:r>
      <w:r>
        <w:rPr>
          <w:rFonts w:hint="eastAsia"/>
        </w:rPr>
        <w:t>；</w:t>
      </w:r>
    </w:p>
    <w:p>
      <w:pPr>
        <w:pStyle w:val="182"/>
        <w:numPr>
          <w:ilvl w:val="0"/>
          <w:numId w:val="0"/>
        </w:numPr>
        <w:ind w:left="851"/>
      </w:pPr>
      <w:r>
        <w:rPr>
          <w:rFonts w:hint="eastAsia"/>
        </w:rPr>
        <w:t>——描述具体碳排放管理方针是碳排放管理的行动纲领并在内部不同层面沟通传达；</w:t>
      </w:r>
    </w:p>
    <w:p>
      <w:pPr>
        <w:pStyle w:val="182"/>
        <w:numPr>
          <w:ilvl w:val="0"/>
          <w:numId w:val="0"/>
        </w:numPr>
        <w:ind w:left="851"/>
      </w:pPr>
      <w:r>
        <w:rPr>
          <w:rFonts w:hint="eastAsia"/>
        </w:rPr>
        <w:t>——碳排放管理目标应涵盖碳排放量和排放强度要求。</w:t>
      </w:r>
    </w:p>
    <w:p>
      <w:pPr>
        <w:pStyle w:val="182"/>
      </w:pPr>
      <w:r>
        <w:rPr>
          <w:rFonts w:hint="eastAsia"/>
        </w:rPr>
        <w:t>确保组建碳排放管理团队并提供支撑：</w:t>
      </w:r>
    </w:p>
    <w:p>
      <w:pPr>
        <w:pStyle w:val="182"/>
        <w:numPr>
          <w:ilvl w:val="0"/>
          <w:numId w:val="0"/>
        </w:numPr>
        <w:ind w:left="851"/>
      </w:pPr>
      <w:r>
        <w:rPr>
          <w:rFonts w:hint="eastAsia"/>
        </w:rPr>
        <w:t>——支撑包括但不限于提供与碳排放管理体系相适宜的资源，如人力、设备设施、资金、技术方法、信息等；</w:t>
      </w:r>
    </w:p>
    <w:p>
      <w:pPr>
        <w:pStyle w:val="182"/>
        <w:numPr>
          <w:ilvl w:val="0"/>
          <w:numId w:val="0"/>
        </w:numPr>
        <w:ind w:left="851"/>
      </w:pPr>
      <w:r>
        <w:rPr>
          <w:rFonts w:hint="eastAsia"/>
        </w:rPr>
        <w:t>——指导和支持团队人员对碳排放管理体系的有效性作出贡献；</w:t>
      </w:r>
    </w:p>
    <w:p>
      <w:pPr>
        <w:pStyle w:val="182"/>
        <w:numPr>
          <w:ilvl w:val="0"/>
          <w:numId w:val="0"/>
        </w:numPr>
        <w:ind w:left="851"/>
      </w:pPr>
      <w:r>
        <w:rPr>
          <w:rFonts w:hint="eastAsia"/>
        </w:rPr>
        <w:t>——支持其他的相关角色在适用于他们的职责范围证明他们的领导作用。</w:t>
      </w:r>
    </w:p>
    <w:p>
      <w:pPr>
        <w:pStyle w:val="182"/>
      </w:pPr>
      <w:r>
        <w:rPr>
          <w:rFonts w:hint="eastAsia"/>
        </w:rPr>
        <w:t>确保碳排放管理体系的有效性：</w:t>
      </w:r>
    </w:p>
    <w:p>
      <w:pPr>
        <w:pStyle w:val="182"/>
        <w:numPr>
          <w:ilvl w:val="0"/>
          <w:numId w:val="0"/>
        </w:numPr>
        <w:ind w:left="851"/>
      </w:pPr>
      <w:r>
        <w:rPr>
          <w:rFonts w:hint="eastAsia"/>
        </w:rPr>
        <w:t>——碳排放管理体系要求融入组织的业务过程；</w:t>
      </w:r>
    </w:p>
    <w:p>
      <w:pPr>
        <w:pStyle w:val="182"/>
        <w:numPr>
          <w:ilvl w:val="0"/>
          <w:numId w:val="0"/>
        </w:numPr>
        <w:ind w:left="851"/>
      </w:pPr>
      <w:r>
        <w:rPr>
          <w:rFonts w:hint="eastAsia"/>
        </w:rPr>
        <w:t>——措施计划得以批准和实施；</w:t>
      </w:r>
    </w:p>
    <w:p>
      <w:pPr>
        <w:pStyle w:val="182"/>
        <w:numPr>
          <w:ilvl w:val="0"/>
          <w:numId w:val="0"/>
        </w:numPr>
        <w:ind w:left="851"/>
      </w:pPr>
      <w:r>
        <w:rPr>
          <w:rFonts w:hint="eastAsia"/>
        </w:rPr>
        <w:t>——碳排放管理体系实现其预期结果；</w:t>
      </w:r>
    </w:p>
    <w:p>
      <w:pPr>
        <w:pStyle w:val="182"/>
        <w:numPr>
          <w:ilvl w:val="0"/>
          <w:numId w:val="0"/>
        </w:numPr>
        <w:ind w:left="851"/>
      </w:pPr>
      <w:r>
        <w:rPr>
          <w:rFonts w:hint="eastAsia"/>
        </w:rPr>
        <w:t>——组织的碳排放绩效参数恰当地反映其碳排放绩效。</w:t>
      </w:r>
    </w:p>
    <w:p>
      <w:pPr>
        <w:pStyle w:val="182"/>
      </w:pPr>
      <w:r>
        <w:rPr>
          <w:rFonts w:hint="eastAsia"/>
        </w:rPr>
        <w:t>参与碳排放绩效评价，促进持续改进：</w:t>
      </w:r>
    </w:p>
    <w:p>
      <w:pPr>
        <w:pStyle w:val="182"/>
        <w:numPr>
          <w:ilvl w:val="0"/>
          <w:numId w:val="0"/>
        </w:numPr>
        <w:ind w:left="851"/>
      </w:pPr>
      <w:r>
        <w:rPr>
          <w:rFonts w:hint="eastAsia"/>
        </w:rPr>
        <w:t>——碳排放管理体系和碳排放绩效的持续改进。</w:t>
      </w:r>
    </w:p>
    <w:p>
      <w:pPr>
        <w:pStyle w:val="187"/>
        <w:numPr>
          <w:ilvl w:val="0"/>
          <w:numId w:val="0"/>
        </w:numPr>
        <w:ind w:left="420" w:hanging="374"/>
      </w:pPr>
      <w:r>
        <w:rPr>
          <w:rFonts w:ascii="黑体" w:eastAsia="黑体"/>
        </w:rPr>
        <w:t>注：</w:t>
      </w:r>
      <w:r>
        <w:rPr>
          <w:rFonts w:hint="eastAsia"/>
        </w:rPr>
        <w:t>本文件所提及的“业务”可从广义上理解为涉及组织存在目的的那些核心活动。</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32" w:name="_Toc144924120"/>
      <w:bookmarkStart w:id="333" w:name="_Toc151494016"/>
      <w:bookmarkStart w:id="334" w:name="_Toc153186166"/>
      <w:r>
        <w:rPr>
          <w:rFonts w:hint="eastAsia" w:hAnsi="黑体" w:cs="Arial"/>
          <w:color w:val="000000" w:themeColor="text1"/>
          <w14:textFill>
            <w14:solidFill>
              <w14:schemeClr w14:val="tx1"/>
            </w14:solidFill>
          </w14:textFill>
        </w:rPr>
        <w:t>碳排放管理方针</w:t>
      </w:r>
      <w:bookmarkEnd w:id="332"/>
      <w:bookmarkEnd w:id="333"/>
      <w:bookmarkEnd w:id="334"/>
    </w:p>
    <w:p>
      <w:pPr>
        <w:pStyle w:val="64"/>
        <w:ind w:firstLine="420" w:firstLineChars="200"/>
      </w:pPr>
      <w:r>
        <w:rPr>
          <w:rFonts w:hint="eastAsia"/>
        </w:rPr>
        <w:t>最高管理者应在确定的碳排放管理体系范围内建立、实施并保持碳排放管理方针，碳排放管理方针应：</w:t>
      </w:r>
    </w:p>
    <w:p>
      <w:pPr>
        <w:pStyle w:val="182"/>
        <w:numPr>
          <w:ilvl w:val="0"/>
          <w:numId w:val="39"/>
        </w:numPr>
      </w:pPr>
      <w:bookmarkStart w:id="335" w:name="_Toc144924121"/>
      <w:bookmarkStart w:id="336" w:name="_Toc151494017"/>
      <w:bookmarkStart w:id="337" w:name="_Hlk151511166"/>
      <w:r>
        <w:rPr>
          <w:rFonts w:hint="eastAsia"/>
        </w:rPr>
        <w:t>适合于组织的宗旨和组织所处的环境；</w:t>
      </w:r>
    </w:p>
    <w:p>
      <w:pPr>
        <w:pStyle w:val="182"/>
      </w:pPr>
      <w:r>
        <w:rPr>
          <w:rFonts w:hint="eastAsia"/>
        </w:rPr>
        <w:t>包括对履行其合规义务的一项承诺；</w:t>
      </w:r>
    </w:p>
    <w:p>
      <w:pPr>
        <w:pStyle w:val="182"/>
      </w:pPr>
      <w:r>
        <w:rPr>
          <w:rFonts w:hint="eastAsia"/>
        </w:rPr>
        <w:t>包括对碳达峰、碳中和的一项承诺；</w:t>
      </w:r>
    </w:p>
    <w:p>
      <w:pPr>
        <w:pStyle w:val="182"/>
      </w:pPr>
      <w:r>
        <w:rPr>
          <w:rFonts w:hint="eastAsia"/>
        </w:rPr>
        <w:t>包括对满足适用要求的一项承诺；</w:t>
      </w:r>
    </w:p>
    <w:p>
      <w:pPr>
        <w:pStyle w:val="182"/>
      </w:pPr>
      <w:r>
        <w:rPr>
          <w:rFonts w:hint="eastAsia"/>
        </w:rPr>
        <w:t>包括对持续改进碳排放管理体系以提高碳排放绩效的一项承诺；</w:t>
      </w:r>
    </w:p>
    <w:p>
      <w:pPr>
        <w:pStyle w:val="182"/>
      </w:pPr>
      <w:r>
        <w:rPr>
          <w:rFonts w:hint="eastAsia"/>
        </w:rPr>
        <w:t>碳排放管理方针应：</w:t>
      </w:r>
    </w:p>
    <w:p>
      <w:pPr>
        <w:pStyle w:val="182"/>
        <w:numPr>
          <w:ilvl w:val="0"/>
          <w:numId w:val="0"/>
        </w:numPr>
        <w:ind w:left="851"/>
      </w:pPr>
      <w:r>
        <w:rPr>
          <w:rFonts w:hint="eastAsia"/>
        </w:rPr>
        <w:t>——以文件化信息的形式予以保留；</w:t>
      </w:r>
    </w:p>
    <w:p>
      <w:pPr>
        <w:pStyle w:val="182"/>
        <w:numPr>
          <w:ilvl w:val="0"/>
          <w:numId w:val="0"/>
        </w:numPr>
        <w:ind w:left="851"/>
      </w:pPr>
      <w:r>
        <w:rPr>
          <w:rFonts w:hint="eastAsia"/>
        </w:rPr>
        <w:t>——在组织内得到沟通；</w:t>
      </w:r>
    </w:p>
    <w:p>
      <w:pPr>
        <w:pStyle w:val="182"/>
        <w:numPr>
          <w:ilvl w:val="0"/>
          <w:numId w:val="0"/>
        </w:numPr>
        <w:ind w:left="851"/>
      </w:pPr>
      <w:r>
        <w:rPr>
          <w:rFonts w:hint="eastAsia"/>
        </w:rPr>
        <w:t>——可为相关方获取。</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38" w:name="_Toc153186167"/>
      <w:r>
        <w:rPr>
          <w:rFonts w:hint="eastAsia" w:hAnsi="黑体" w:cs="Arial"/>
          <w:color w:val="000000" w:themeColor="text1"/>
          <w14:textFill>
            <w14:solidFill>
              <w14:schemeClr w14:val="tx1"/>
            </w14:solidFill>
          </w14:textFill>
        </w:rPr>
        <w:t>组织的角色、职责和权限</w:t>
      </w:r>
      <w:bookmarkEnd w:id="335"/>
      <w:bookmarkEnd w:id="336"/>
      <w:bookmarkEnd w:id="338"/>
    </w:p>
    <w:bookmarkEnd w:id="337"/>
    <w:p>
      <w:pPr>
        <w:pStyle w:val="15"/>
        <w:spacing w:after="0" w:line="240" w:lineRule="auto"/>
        <w:ind w:firstLine="420"/>
      </w:pPr>
      <w:r>
        <w:rPr>
          <w:rFonts w:hint="eastAsia"/>
        </w:rPr>
        <w:t>最高管理者应建立适宜的碳排放管理体系，确保在组织内分配并沟通相关岗位的职责和权限：</w:t>
      </w:r>
    </w:p>
    <w:p>
      <w:pPr>
        <w:pStyle w:val="182"/>
        <w:numPr>
          <w:ilvl w:val="0"/>
          <w:numId w:val="40"/>
        </w:numPr>
      </w:pPr>
      <w:r>
        <w:rPr>
          <w:rFonts w:hint="eastAsia"/>
        </w:rPr>
        <w:t>在最高管理者的直接管理或授权下，向碳排放管理团队分配职责和权限：</w:t>
      </w:r>
    </w:p>
    <w:p>
      <w:pPr>
        <w:pStyle w:val="182"/>
        <w:numPr>
          <w:ilvl w:val="0"/>
          <w:numId w:val="0"/>
        </w:numPr>
        <w:ind w:left="851"/>
      </w:pPr>
      <w:r>
        <w:rPr>
          <w:rFonts w:hint="eastAsia"/>
        </w:rPr>
        <w:t>——确保按照本文件的要求建设、管理、保持和持续改进本组织的碳排放管理体系及开展碳排放绩效评价；</w:t>
      </w:r>
    </w:p>
    <w:p>
      <w:pPr>
        <w:pStyle w:val="182"/>
        <w:numPr>
          <w:ilvl w:val="0"/>
          <w:numId w:val="0"/>
        </w:numPr>
        <w:ind w:left="851"/>
      </w:pPr>
      <w:r>
        <w:rPr>
          <w:rFonts w:hint="eastAsia"/>
        </w:rPr>
        <w:t>——确保组织的碳排放管理体系符合本文件的要求；</w:t>
      </w:r>
    </w:p>
    <w:p>
      <w:pPr>
        <w:pStyle w:val="182"/>
        <w:numPr>
          <w:ilvl w:val="0"/>
          <w:numId w:val="0"/>
        </w:numPr>
        <w:ind w:left="851"/>
      </w:pPr>
      <w:r>
        <w:rPr>
          <w:rFonts w:hint="eastAsia"/>
        </w:rPr>
        <w:t>——策划有效的碳排放管理实施措施计划，以落实碳排放管理方针和目标；</w:t>
      </w:r>
    </w:p>
    <w:p>
      <w:pPr>
        <w:pStyle w:val="182"/>
        <w:numPr>
          <w:ilvl w:val="0"/>
          <w:numId w:val="0"/>
        </w:numPr>
        <w:ind w:left="851"/>
      </w:pPr>
      <w:r>
        <w:rPr>
          <w:rFonts w:hint="eastAsia"/>
        </w:rPr>
        <w:t>——确定碳排放管理团队内岗位的职责和权限，以有效推动组织的碳排放管理；</w:t>
      </w:r>
    </w:p>
    <w:p>
      <w:pPr>
        <w:pStyle w:val="182"/>
        <w:numPr>
          <w:ilvl w:val="0"/>
          <w:numId w:val="0"/>
        </w:numPr>
        <w:ind w:left="851"/>
      </w:pPr>
      <w:r>
        <w:rPr>
          <w:rFonts w:hint="eastAsia"/>
        </w:rPr>
        <w:t>——定期报告碳排放绩效和碳排放绩效的改进；</w:t>
      </w:r>
    </w:p>
    <w:p>
      <w:pPr>
        <w:pStyle w:val="182"/>
        <w:numPr>
          <w:ilvl w:val="0"/>
          <w:numId w:val="0"/>
        </w:numPr>
        <w:ind w:left="851"/>
      </w:pPr>
      <w:r>
        <w:rPr>
          <w:rFonts w:hint="eastAsia"/>
        </w:rPr>
        <w:t>——建立相应的规章制度、工作准则等，以确保碳排放管理体系的有效运行和控制。</w:t>
      </w:r>
    </w:p>
    <w:p>
      <w:pPr>
        <w:pStyle w:val="182"/>
      </w:pPr>
      <w:r>
        <w:rPr>
          <w:rFonts w:hint="eastAsia"/>
        </w:rPr>
        <w:t>碳排放管理团队是组织碳排放管理的执行主体，可通过以下形式组成：</w:t>
      </w:r>
    </w:p>
    <w:p>
      <w:pPr>
        <w:pStyle w:val="182"/>
        <w:numPr>
          <w:ilvl w:val="0"/>
          <w:numId w:val="0"/>
        </w:numPr>
        <w:ind w:left="851"/>
      </w:pPr>
      <w:r>
        <w:rPr>
          <w:rFonts w:hint="eastAsia"/>
        </w:rPr>
        <w:t>——成立专门的碳排放管理部门，统一负责本组织碳排放管理工作；</w:t>
      </w:r>
    </w:p>
    <w:p>
      <w:pPr>
        <w:pStyle w:val="182"/>
        <w:numPr>
          <w:ilvl w:val="0"/>
          <w:numId w:val="0"/>
        </w:numPr>
        <w:ind w:left="851"/>
      </w:pPr>
      <w:r>
        <w:rPr>
          <w:rFonts w:hint="eastAsia"/>
        </w:rPr>
        <w:t>——与本组织能源部门、环保部门等组织机构融合，将碳排放管理融入其日常工作中；</w:t>
      </w:r>
    </w:p>
    <w:p>
      <w:pPr>
        <w:pStyle w:val="182"/>
        <w:numPr>
          <w:ilvl w:val="0"/>
          <w:numId w:val="0"/>
        </w:numPr>
        <w:ind w:left="851"/>
      </w:pPr>
      <w:r>
        <w:rPr>
          <w:rFonts w:hint="eastAsia"/>
        </w:rPr>
        <w:t>——必要时，可聘请外部机构参与本组织碳排放管理。</w:t>
      </w:r>
    </w:p>
    <w:p>
      <w:pPr>
        <w:pStyle w:val="182"/>
      </w:pPr>
      <w:r>
        <w:rPr>
          <w:rFonts w:hint="eastAsia"/>
        </w:rPr>
        <w:t>碳排放管理团队职责，包括但不限于：</w:t>
      </w:r>
    </w:p>
    <w:p>
      <w:pPr>
        <w:pStyle w:val="182"/>
        <w:numPr>
          <w:ilvl w:val="0"/>
          <w:numId w:val="0"/>
        </w:numPr>
        <w:ind w:left="851"/>
      </w:pPr>
      <w:r>
        <w:rPr>
          <w:rFonts w:hint="eastAsia"/>
        </w:rPr>
        <w:t>——制定</w:t>
      </w:r>
      <w:bookmarkStart w:id="339" w:name="_Hlk152680554"/>
      <w:r>
        <w:rPr>
          <w:rFonts w:hint="eastAsia"/>
        </w:rPr>
        <w:t>碳排放管理发展规划</w:t>
      </w:r>
      <w:bookmarkEnd w:id="339"/>
      <w:r>
        <w:rPr>
          <w:rFonts w:hint="eastAsia"/>
        </w:rPr>
        <w:t>及相关制度；</w:t>
      </w:r>
    </w:p>
    <w:p>
      <w:pPr>
        <w:pStyle w:val="182"/>
        <w:numPr>
          <w:ilvl w:val="0"/>
          <w:numId w:val="0"/>
        </w:numPr>
        <w:ind w:left="851"/>
      </w:pPr>
      <w:r>
        <w:rPr>
          <w:rFonts w:hint="eastAsia"/>
        </w:rPr>
        <w:t>——设立科学的碳排放管理目标；</w:t>
      </w:r>
    </w:p>
    <w:p>
      <w:pPr>
        <w:pStyle w:val="182"/>
        <w:numPr>
          <w:ilvl w:val="0"/>
          <w:numId w:val="0"/>
        </w:numPr>
        <w:ind w:left="851"/>
      </w:pPr>
      <w:r>
        <w:rPr>
          <w:rFonts w:hint="eastAsia"/>
        </w:rPr>
        <w:t>——开展本组织碳排放评估；</w:t>
      </w:r>
    </w:p>
    <w:p>
      <w:pPr>
        <w:pStyle w:val="182"/>
        <w:numPr>
          <w:ilvl w:val="0"/>
          <w:numId w:val="0"/>
        </w:numPr>
        <w:ind w:left="851"/>
      </w:pPr>
      <w:r>
        <w:rPr>
          <w:rFonts w:hint="eastAsia"/>
        </w:rPr>
        <w:t>——实施本组织碳排放管理体系内部审核；</w:t>
      </w:r>
    </w:p>
    <w:p>
      <w:pPr>
        <w:pStyle w:val="182"/>
        <w:numPr>
          <w:ilvl w:val="0"/>
          <w:numId w:val="0"/>
        </w:numPr>
        <w:ind w:left="851"/>
      </w:pPr>
      <w:r>
        <w:rPr>
          <w:rFonts w:hint="eastAsia"/>
        </w:rPr>
        <w:t>——与内外部相关方沟通本组织碳排放情况；</w:t>
      </w:r>
    </w:p>
    <w:p>
      <w:pPr>
        <w:pStyle w:val="182"/>
        <w:numPr>
          <w:ilvl w:val="0"/>
          <w:numId w:val="0"/>
        </w:numPr>
        <w:ind w:left="851"/>
      </w:pPr>
      <w:r>
        <w:rPr>
          <w:rFonts w:hint="eastAsia"/>
        </w:rPr>
        <w:t>——碳资产管理；</w:t>
      </w:r>
    </w:p>
    <w:p>
      <w:pPr>
        <w:pStyle w:val="182"/>
        <w:numPr>
          <w:ilvl w:val="0"/>
          <w:numId w:val="0"/>
        </w:numPr>
        <w:ind w:left="851"/>
      </w:pPr>
      <w:r>
        <w:rPr>
          <w:rFonts w:hint="eastAsia"/>
        </w:rPr>
        <w:t>——碳排放履约；</w:t>
      </w:r>
    </w:p>
    <w:p>
      <w:pPr>
        <w:pStyle w:val="182"/>
        <w:numPr>
          <w:ilvl w:val="0"/>
          <w:numId w:val="0"/>
        </w:numPr>
        <w:ind w:left="851"/>
      </w:pPr>
      <w:r>
        <w:rPr>
          <w:rFonts w:hint="eastAsia"/>
        </w:rPr>
        <w:t>——收集并了解碳资讯；</w:t>
      </w:r>
    </w:p>
    <w:p>
      <w:pPr>
        <w:pStyle w:val="182"/>
        <w:numPr>
          <w:ilvl w:val="0"/>
          <w:numId w:val="0"/>
        </w:numPr>
        <w:ind w:left="851"/>
      </w:pPr>
      <w:r>
        <w:rPr>
          <w:rFonts w:hint="eastAsia"/>
        </w:rPr>
        <w:t>——必要时，建立本组织碳排放管理信息系统并维护运行。</w:t>
      </w:r>
    </w:p>
    <w:p>
      <w:pPr>
        <w:pStyle w:val="182"/>
        <w:numPr>
          <w:ilvl w:val="0"/>
          <w:numId w:val="0"/>
        </w:numPr>
        <w:ind w:left="851"/>
      </w:pPr>
    </w:p>
    <w:bookmarkEnd w:id="329"/>
    <w:bookmarkEnd w:id="330"/>
    <w:p>
      <w:pPr>
        <w:pStyle w:val="112"/>
        <w:numPr>
          <w:ilvl w:val="0"/>
          <w:numId w:val="33"/>
        </w:numPr>
        <w:spacing w:before="312" w:after="312"/>
        <w:ind w:left="0"/>
      </w:pPr>
      <w:bookmarkStart w:id="340" w:name="_Toc153186168"/>
      <w:bookmarkStart w:id="341" w:name="_Toc144924122"/>
      <w:bookmarkStart w:id="342" w:name="_Toc151494018"/>
      <w:bookmarkStart w:id="343" w:name="_Hlk151511199"/>
      <w:r>
        <w:rPr>
          <w:rFonts w:hint="eastAsia"/>
        </w:rPr>
        <w:t>策划</w:t>
      </w:r>
      <w:bookmarkEnd w:id="340"/>
      <w:bookmarkEnd w:id="341"/>
      <w:bookmarkEnd w:id="342"/>
    </w:p>
    <w:bookmarkEnd w:id="331"/>
    <w:bookmarkEnd w:id="343"/>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44" w:name="_Toc151494019"/>
      <w:bookmarkStart w:id="345" w:name="_Toc144924123"/>
      <w:bookmarkStart w:id="346" w:name="_Toc153186169"/>
      <w:bookmarkStart w:id="347" w:name="_Hlk151511278"/>
      <w:r>
        <w:rPr>
          <w:rFonts w:hint="eastAsia" w:hAnsi="黑体" w:cs="Arial"/>
          <w:color w:val="000000" w:themeColor="text1"/>
          <w14:textFill>
            <w14:solidFill>
              <w14:schemeClr w14:val="tx1"/>
            </w14:solidFill>
          </w14:textFill>
        </w:rPr>
        <w:t>应对风险和机遇的措施</w:t>
      </w:r>
      <w:bookmarkEnd w:id="344"/>
      <w:bookmarkEnd w:id="345"/>
      <w:bookmarkEnd w:id="346"/>
    </w:p>
    <w:bookmarkEnd w:id="347"/>
    <w:p>
      <w:pPr>
        <w:pStyle w:val="15"/>
        <w:spacing w:after="0" w:line="240" w:lineRule="auto"/>
        <w:ind w:firstLine="420"/>
      </w:pPr>
      <w:r>
        <w:rPr>
          <w:rFonts w:hint="eastAsia"/>
        </w:rPr>
        <w:t>当策划碳排放管理体系时，组织应：</w:t>
      </w:r>
    </w:p>
    <w:p>
      <w:pPr>
        <w:pStyle w:val="140"/>
      </w:pPr>
      <w:r>
        <w:rPr>
          <w:rFonts w:hint="eastAsia"/>
        </w:rPr>
        <w:t>对碳排放管理体系能取得它的预期结果给予保证；</w:t>
      </w:r>
    </w:p>
    <w:p>
      <w:pPr>
        <w:pStyle w:val="140"/>
      </w:pPr>
      <w:r>
        <w:rPr>
          <w:rFonts w:hint="eastAsia"/>
        </w:rPr>
        <w:t>防止或降低不期望的影响；</w:t>
      </w:r>
    </w:p>
    <w:p>
      <w:pPr>
        <w:pStyle w:val="140"/>
      </w:pPr>
      <w:r>
        <w:rPr>
          <w:rFonts w:hint="eastAsia"/>
        </w:rPr>
        <w:t>实现持续改进。</w:t>
      </w:r>
    </w:p>
    <w:p>
      <w:pPr>
        <w:pStyle w:val="15"/>
        <w:spacing w:after="0" w:line="240" w:lineRule="auto"/>
        <w:ind w:firstLine="420"/>
      </w:pPr>
      <w:r>
        <w:rPr>
          <w:rFonts w:hint="eastAsia"/>
        </w:rPr>
        <w:t>组织应策划：</w:t>
      </w:r>
    </w:p>
    <w:p>
      <w:pPr>
        <w:pStyle w:val="182"/>
        <w:numPr>
          <w:ilvl w:val="0"/>
          <w:numId w:val="41"/>
        </w:numPr>
      </w:pPr>
      <w:r>
        <w:rPr>
          <w:rFonts w:hint="eastAsia"/>
        </w:rPr>
        <w:t>应对风险和机遇的措施；</w:t>
      </w:r>
    </w:p>
    <w:p>
      <w:pPr>
        <w:pStyle w:val="182"/>
      </w:pPr>
      <w:r>
        <w:rPr>
          <w:rFonts w:hint="eastAsia"/>
        </w:rPr>
        <w:t>如何：</w:t>
      </w:r>
      <w:r>
        <w:tab/>
      </w:r>
    </w:p>
    <w:p>
      <w:pPr>
        <w:pStyle w:val="140"/>
        <w:numPr>
          <w:ilvl w:val="0"/>
          <w:numId w:val="0"/>
        </w:numPr>
        <w:ind w:left="425" w:firstLine="210" w:firstLineChars="100"/>
      </w:pPr>
      <w:r>
        <w:rPr>
          <w:rFonts w:hint="eastAsia"/>
        </w:rPr>
        <w:t>——将措施整合到其碳排放管理体系过程中并予以实施；</w:t>
      </w:r>
    </w:p>
    <w:p>
      <w:pPr>
        <w:pStyle w:val="140"/>
        <w:numPr>
          <w:ilvl w:val="0"/>
          <w:numId w:val="0"/>
        </w:numPr>
        <w:ind w:left="425" w:firstLine="210" w:firstLineChars="100"/>
      </w:pPr>
      <w:r>
        <w:rPr>
          <w:rFonts w:hint="eastAsia"/>
        </w:rPr>
        <w:t>——评价所实施措施的有效性。</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48" w:name="_Toc153186170"/>
      <w:bookmarkStart w:id="349" w:name="_Toc151494020"/>
      <w:bookmarkStart w:id="350" w:name="_Hlk151511293"/>
      <w:r>
        <w:rPr>
          <w:rFonts w:hint="eastAsia" w:hAnsi="黑体" w:cs="Arial"/>
          <w:color w:val="000000" w:themeColor="text1"/>
          <w14:textFill>
            <w14:solidFill>
              <w14:schemeClr w14:val="tx1"/>
            </w14:solidFill>
          </w14:textFill>
        </w:rPr>
        <w:t>碳排放管理目标及实现的策划</w:t>
      </w:r>
      <w:bookmarkEnd w:id="348"/>
      <w:bookmarkEnd w:id="349"/>
    </w:p>
    <w:bookmarkEnd w:id="350"/>
    <w:p>
      <w:pPr>
        <w:pStyle w:val="15"/>
        <w:spacing w:after="0" w:line="240" w:lineRule="auto"/>
        <w:ind w:firstLine="420"/>
      </w:pPr>
      <w:r>
        <w:rPr>
          <w:rFonts w:hint="eastAsia"/>
        </w:rPr>
        <w:t>组织应针对其相关职能和层次建立碳排放管理目标，包括但不限于：</w:t>
      </w:r>
    </w:p>
    <w:p>
      <w:pPr>
        <w:pStyle w:val="182"/>
        <w:numPr>
          <w:ilvl w:val="0"/>
          <w:numId w:val="42"/>
        </w:numPr>
      </w:pPr>
      <w:r>
        <w:rPr>
          <w:rFonts w:hint="eastAsia"/>
        </w:rPr>
        <w:t>与碳排放管理方针相一致；</w:t>
      </w:r>
    </w:p>
    <w:p>
      <w:pPr>
        <w:pStyle w:val="182"/>
      </w:pPr>
      <w:r>
        <w:rPr>
          <w:rFonts w:hint="eastAsia"/>
        </w:rPr>
        <w:t>是可测量的（如可行）；</w:t>
      </w:r>
    </w:p>
    <w:p>
      <w:pPr>
        <w:pStyle w:val="182"/>
      </w:pPr>
      <w:r>
        <w:rPr>
          <w:rFonts w:hint="eastAsia"/>
        </w:rPr>
        <w:t>考虑到适用的要求；</w:t>
      </w:r>
    </w:p>
    <w:p>
      <w:pPr>
        <w:pStyle w:val="182"/>
      </w:pPr>
      <w:r>
        <w:rPr>
          <w:rFonts w:hint="eastAsia"/>
        </w:rPr>
        <w:t>得到监测；</w:t>
      </w:r>
    </w:p>
    <w:p>
      <w:pPr>
        <w:pStyle w:val="182"/>
      </w:pPr>
      <w:r>
        <w:rPr>
          <w:rFonts w:hint="eastAsia"/>
        </w:rPr>
        <w:t>予以沟通；</w:t>
      </w:r>
    </w:p>
    <w:p>
      <w:pPr>
        <w:pStyle w:val="182"/>
      </w:pPr>
      <w:r>
        <w:rPr>
          <w:rFonts w:hint="eastAsia"/>
        </w:rPr>
        <w:t>适当时予以更新；</w:t>
      </w:r>
    </w:p>
    <w:p>
      <w:pPr>
        <w:pStyle w:val="182"/>
      </w:pPr>
      <w:r>
        <w:rPr>
          <w:rFonts w:hint="eastAsia"/>
        </w:rPr>
        <w:t>作为文件化信息予以保留；</w:t>
      </w:r>
    </w:p>
    <w:p>
      <w:pPr>
        <w:pStyle w:val="182"/>
      </w:pPr>
      <w:r>
        <w:rPr>
          <w:rFonts w:hint="eastAsia"/>
        </w:rPr>
        <w:t>若组织设立科学碳目标亦可作为构成本文件的碳排放管理目标。</w:t>
      </w:r>
    </w:p>
    <w:p>
      <w:pPr>
        <w:pStyle w:val="182"/>
        <w:numPr>
          <w:ilvl w:val="0"/>
          <w:numId w:val="0"/>
        </w:numPr>
        <w:ind w:left="425"/>
      </w:pPr>
      <w:r>
        <w:rPr>
          <w:rFonts w:hint="eastAsia"/>
        </w:rPr>
        <w:t>组织应保留碳排放管理目标的文件化信息。</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51" w:name="_Toc153186171"/>
      <w:r>
        <w:rPr>
          <w:rFonts w:hint="eastAsia" w:hAnsi="黑体" w:cs="Arial"/>
          <w:color w:val="000000" w:themeColor="text1"/>
          <w14:textFill>
            <w14:solidFill>
              <w14:schemeClr w14:val="tx1"/>
            </w14:solidFill>
          </w14:textFill>
        </w:rPr>
        <w:t>碳排放评估</w:t>
      </w:r>
      <w:bookmarkEnd w:id="351"/>
    </w:p>
    <w:p>
      <w:pPr>
        <w:pStyle w:val="15"/>
        <w:spacing w:after="0" w:line="240" w:lineRule="auto"/>
        <w:ind w:firstLine="420"/>
      </w:pPr>
      <w:r>
        <w:rPr>
          <w:rFonts w:hint="eastAsia"/>
        </w:rPr>
        <w:t>组织应识别其碳排放情况，并实施评估以策划进一步的碳排放管理措施。</w:t>
      </w:r>
    </w:p>
    <w:p>
      <w:pPr>
        <w:pStyle w:val="15"/>
        <w:spacing w:after="0" w:line="240" w:lineRule="auto"/>
        <w:ind w:firstLine="420"/>
      </w:pPr>
      <w:r>
        <w:rPr>
          <w:rFonts w:hint="eastAsia"/>
        </w:rPr>
        <w:t>碳排放评估的内容包括但不限于：</w:t>
      </w:r>
    </w:p>
    <w:p>
      <w:pPr>
        <w:pStyle w:val="182"/>
        <w:numPr>
          <w:ilvl w:val="0"/>
          <w:numId w:val="43"/>
        </w:numPr>
      </w:pPr>
      <w:r>
        <w:rPr>
          <w:rFonts w:hint="eastAsia"/>
        </w:rPr>
        <w:t>基于能源消耗、工艺过程排放测量结果和其他数据分析能源消耗排放及工艺过程排放的情况：</w:t>
      </w:r>
    </w:p>
    <w:p>
      <w:pPr>
        <w:pStyle w:val="182"/>
        <w:numPr>
          <w:ilvl w:val="0"/>
          <w:numId w:val="0"/>
        </w:numPr>
        <w:ind w:left="851"/>
      </w:pPr>
      <w:r>
        <w:rPr>
          <w:rFonts w:hint="eastAsia"/>
        </w:rPr>
        <w:t>——识别当前能源消耗种类的排放；</w:t>
      </w:r>
    </w:p>
    <w:p>
      <w:pPr>
        <w:pStyle w:val="182"/>
        <w:numPr>
          <w:ilvl w:val="0"/>
          <w:numId w:val="0"/>
        </w:numPr>
        <w:ind w:left="851"/>
      </w:pPr>
      <w:r>
        <w:rPr>
          <w:rFonts w:hint="eastAsia"/>
        </w:rPr>
        <w:t>——识别当前的工艺过程排放类别；</w:t>
      </w:r>
    </w:p>
    <w:p>
      <w:pPr>
        <w:pStyle w:val="182"/>
        <w:numPr>
          <w:ilvl w:val="0"/>
          <w:numId w:val="0"/>
        </w:numPr>
        <w:ind w:left="851"/>
      </w:pPr>
      <w:r>
        <w:rPr>
          <w:rFonts w:hint="eastAsia"/>
        </w:rPr>
        <w:t>——评价过去、现在的能源消耗排放及工艺过程排放的趋势。</w:t>
      </w:r>
    </w:p>
    <w:p>
      <w:pPr>
        <w:pStyle w:val="182"/>
      </w:pPr>
      <w:r>
        <w:rPr>
          <w:rFonts w:hint="eastAsia"/>
        </w:rPr>
        <w:t>基于对上述趋势的分析：</w:t>
      </w:r>
    </w:p>
    <w:p>
      <w:pPr>
        <w:pStyle w:val="182"/>
        <w:numPr>
          <w:ilvl w:val="0"/>
          <w:numId w:val="0"/>
        </w:numPr>
        <w:ind w:left="851"/>
      </w:pPr>
      <w:r>
        <w:rPr>
          <w:rFonts w:hint="eastAsia"/>
        </w:rPr>
        <w:t>——收集活动水平数据和确定排放因子；</w:t>
      </w:r>
    </w:p>
    <w:p>
      <w:pPr>
        <w:pStyle w:val="182"/>
        <w:numPr>
          <w:ilvl w:val="0"/>
          <w:numId w:val="0"/>
        </w:numPr>
        <w:ind w:left="851"/>
      </w:pPr>
      <w:r>
        <w:rPr>
          <w:rFonts w:hint="eastAsia"/>
        </w:rPr>
        <w:t>——确定当前的温室气体减排成效。</w:t>
      </w:r>
    </w:p>
    <w:p>
      <w:pPr>
        <w:pStyle w:val="182"/>
      </w:pPr>
      <w:r>
        <w:rPr>
          <w:rFonts w:hint="eastAsia"/>
        </w:rPr>
        <w:t>识别当前组织内主要的碳排放源；</w:t>
      </w:r>
    </w:p>
    <w:p>
      <w:pPr>
        <w:pStyle w:val="182"/>
      </w:pPr>
      <w:r>
        <w:rPr>
          <w:rFonts w:hint="eastAsia"/>
        </w:rPr>
        <w:t>识别当前碳排放绩效参数；</w:t>
      </w:r>
    </w:p>
    <w:p>
      <w:pPr>
        <w:pStyle w:val="182"/>
      </w:pPr>
      <w:r>
        <w:rPr>
          <w:rFonts w:hint="eastAsia"/>
        </w:rPr>
        <w:t>识别可能会导致碳排放总量变化的其他因素；</w:t>
      </w:r>
    </w:p>
    <w:p>
      <w:pPr>
        <w:pStyle w:val="182"/>
      </w:pPr>
      <w:r>
        <w:rPr>
          <w:rFonts w:hint="eastAsia"/>
        </w:rPr>
        <w:t>识别在组织控制下进行工作、对主要碳排放有直接或间接影响的工作人员；</w:t>
      </w:r>
    </w:p>
    <w:p>
      <w:pPr>
        <w:pStyle w:val="182"/>
      </w:pPr>
      <w:r>
        <w:rPr>
          <w:rFonts w:hint="eastAsia"/>
        </w:rPr>
        <w:t>评价碳减排措施的有效性；</w:t>
      </w:r>
    </w:p>
    <w:p>
      <w:pPr>
        <w:pStyle w:val="182"/>
      </w:pPr>
      <w:r>
        <w:rPr>
          <w:rFonts w:hint="eastAsia"/>
        </w:rPr>
        <w:t>评估未来碳排放的趋势。</w:t>
      </w:r>
    </w:p>
    <w:p>
      <w:pPr>
        <w:pStyle w:val="15"/>
        <w:spacing w:after="0" w:line="240" w:lineRule="auto"/>
        <w:ind w:firstLine="420"/>
      </w:pPr>
      <w:r>
        <w:rPr>
          <w:rFonts w:hint="eastAsia"/>
        </w:rPr>
        <w:t>碳排放评估建议按照每年一次的间隔定期开展。当组织的设施、设备、系统或用能过程发生重大变化时，碳排放评估也应及时更新。碳排放评估的更新应着重分析与前次评估结果出现明显差异的部分。</w:t>
      </w:r>
    </w:p>
    <w:p>
      <w:pPr>
        <w:pStyle w:val="15"/>
        <w:spacing w:after="0" w:line="240" w:lineRule="auto"/>
        <w:ind w:firstLine="420"/>
      </w:pPr>
      <w:r>
        <w:rPr>
          <w:rFonts w:hint="eastAsia"/>
        </w:rPr>
        <w:t>组织应保留开展碳排放评估的方法和准则的文件化信息，还应保留碳排放评估结果的文件化信息。</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52" w:name="_Toc153186172"/>
      <w:bookmarkStart w:id="353" w:name="_Toc151494021"/>
      <w:bookmarkStart w:id="354" w:name="_Hlk151511317"/>
      <w:r>
        <w:rPr>
          <w:rFonts w:hint="eastAsia" w:hAnsi="黑体" w:cs="Arial"/>
          <w:color w:val="000000" w:themeColor="text1"/>
          <w14:textFill>
            <w14:solidFill>
              <w14:schemeClr w14:val="tx1"/>
            </w14:solidFill>
          </w14:textFill>
        </w:rPr>
        <w:t>碳排放源</w:t>
      </w:r>
      <w:bookmarkEnd w:id="352"/>
      <w:bookmarkEnd w:id="353"/>
    </w:p>
    <w:bookmarkEnd w:id="354"/>
    <w:p>
      <w:pPr>
        <w:pStyle w:val="15"/>
        <w:spacing w:after="0" w:line="240" w:lineRule="auto"/>
        <w:ind w:firstLine="420"/>
      </w:pPr>
      <w:r>
        <w:rPr>
          <w:rFonts w:hint="eastAsia"/>
        </w:rPr>
        <w:t>组织应在所界定的碳排放管理体系范围内确定存在的碳排放源。</w:t>
      </w:r>
    </w:p>
    <w:p>
      <w:pPr>
        <w:pStyle w:val="15"/>
        <w:spacing w:after="0" w:line="240" w:lineRule="auto"/>
        <w:ind w:firstLine="420"/>
      </w:pPr>
      <w:r>
        <w:rPr>
          <w:rFonts w:hint="eastAsia"/>
        </w:rPr>
        <w:t>在确定碳排放源时，组织可考虑：</w:t>
      </w:r>
    </w:p>
    <w:p>
      <w:pPr>
        <w:pStyle w:val="182"/>
        <w:numPr>
          <w:ilvl w:val="0"/>
          <w:numId w:val="44"/>
        </w:numPr>
      </w:pPr>
      <w:r>
        <w:rPr>
          <w:rFonts w:hint="eastAsia"/>
        </w:rPr>
        <w:t>重点排放部门或重点排放设施；</w:t>
      </w:r>
    </w:p>
    <w:p>
      <w:pPr>
        <w:pStyle w:val="182"/>
      </w:pPr>
      <w:r>
        <w:rPr>
          <w:rFonts w:hint="eastAsia"/>
        </w:rPr>
        <w:t>可能出现异常的或潜在的碳排放波动；</w:t>
      </w:r>
    </w:p>
    <w:p>
      <w:pPr>
        <w:pStyle w:val="182"/>
      </w:pPr>
      <w:r>
        <w:rPr>
          <w:rFonts w:hint="eastAsia"/>
        </w:rPr>
        <w:t>碳排放管理体系范围内计划纳入的，新开发的或修改的活动、产品和服务发生了变更。</w:t>
      </w:r>
    </w:p>
    <w:p>
      <w:pPr>
        <w:pStyle w:val="15"/>
        <w:spacing w:after="0" w:line="240" w:lineRule="auto"/>
        <w:ind w:firstLine="420"/>
      </w:pPr>
      <w:r>
        <w:rPr>
          <w:rFonts w:hint="eastAsia"/>
        </w:rPr>
        <w:t>组织应保留适当的有关碳排放源的文件化信息。</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55" w:name="_Toc151494022"/>
      <w:bookmarkStart w:id="356" w:name="_Toc153186173"/>
      <w:bookmarkStart w:id="357" w:name="_Toc144924127"/>
      <w:bookmarkStart w:id="358" w:name="_Hlk151511331"/>
      <w:r>
        <w:rPr>
          <w:rFonts w:hint="eastAsia" w:hAnsi="黑体" w:cs="Arial"/>
          <w:color w:val="000000" w:themeColor="text1"/>
          <w14:textFill>
            <w14:solidFill>
              <w14:schemeClr w14:val="tx1"/>
            </w14:solidFill>
          </w14:textFill>
        </w:rPr>
        <w:t>碳排放绩效参数</w:t>
      </w:r>
      <w:bookmarkEnd w:id="355"/>
      <w:bookmarkEnd w:id="356"/>
      <w:bookmarkEnd w:id="357"/>
    </w:p>
    <w:bookmarkEnd w:id="358"/>
    <w:p>
      <w:pPr>
        <w:pStyle w:val="15"/>
        <w:spacing w:after="0" w:line="240" w:lineRule="auto"/>
        <w:ind w:firstLine="420"/>
      </w:pPr>
      <w:r>
        <w:rPr>
          <w:rFonts w:hint="eastAsia"/>
        </w:rPr>
        <w:t>组织通过碳排放评估获得碳排放绩效相关信息，确定适宜的碳排放绩效参数，继而确立基准年并评价碳排放绩效的变化，碳排放绩效参数包括但不限于：</w:t>
      </w:r>
    </w:p>
    <w:p>
      <w:pPr>
        <w:pStyle w:val="182"/>
        <w:numPr>
          <w:ilvl w:val="0"/>
          <w:numId w:val="45"/>
        </w:numPr>
      </w:pPr>
      <w:r>
        <w:rPr>
          <w:rFonts w:hint="eastAsia"/>
        </w:rPr>
        <w:t>组织的活动、生产、服务提供情况；</w:t>
      </w:r>
    </w:p>
    <w:p>
      <w:pPr>
        <w:pStyle w:val="182"/>
      </w:pPr>
      <w:r>
        <w:rPr>
          <w:rFonts w:hint="eastAsia"/>
        </w:rPr>
        <w:t>何处需要监测和测量碳排放绩效；</w:t>
      </w:r>
    </w:p>
    <w:p>
      <w:pPr>
        <w:pStyle w:val="182"/>
      </w:pPr>
      <w:r>
        <w:rPr>
          <w:rFonts w:hint="eastAsia"/>
        </w:rPr>
        <w:t>监测和测量碳排放绩效的方法；</w:t>
      </w:r>
    </w:p>
    <w:p>
      <w:pPr>
        <w:pStyle w:val="182"/>
      </w:pPr>
      <w:r>
        <w:rPr>
          <w:rFonts w:hint="eastAsia"/>
        </w:rPr>
        <w:t>所确定碳排放绩效参数的先进性和适宜性。</w:t>
      </w:r>
    </w:p>
    <w:p>
      <w:pPr>
        <w:pStyle w:val="15"/>
        <w:spacing w:after="0" w:line="240" w:lineRule="auto"/>
        <w:ind w:firstLine="420"/>
      </w:pPr>
      <w:r>
        <w:rPr>
          <w:rFonts w:hint="eastAsia"/>
        </w:rPr>
        <w:t>组织应对碳排放绩效参数定期更新，并与组织碳排放基准年进行对照。</w:t>
      </w:r>
    </w:p>
    <w:p>
      <w:pPr>
        <w:pStyle w:val="15"/>
        <w:spacing w:after="0" w:line="240" w:lineRule="auto"/>
        <w:ind w:firstLine="420"/>
      </w:pPr>
      <w:r>
        <w:rPr>
          <w:rFonts w:hint="eastAsia"/>
        </w:rPr>
        <w:t>组织应保留碳排放绩效参数值和对碳排放绩效参数值进行更新的文件化信息。</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59" w:name="_Toc110619308"/>
      <w:bookmarkStart w:id="360" w:name="_Toc110619475"/>
      <w:bookmarkStart w:id="361" w:name="_Toc151494023"/>
      <w:bookmarkStart w:id="362" w:name="_Toc153186174"/>
      <w:bookmarkStart w:id="363" w:name="_Toc144924128"/>
      <w:bookmarkStart w:id="364" w:name="_Hlk151511347"/>
      <w:r>
        <w:rPr>
          <w:rFonts w:hint="eastAsia" w:hAnsi="黑体" w:cs="Arial"/>
          <w:color w:val="000000" w:themeColor="text1"/>
          <w14:textFill>
            <w14:solidFill>
              <w14:schemeClr w14:val="tx1"/>
            </w14:solidFill>
          </w14:textFill>
        </w:rPr>
        <w:t>基准</w:t>
      </w:r>
      <w:bookmarkEnd w:id="359"/>
      <w:bookmarkEnd w:id="360"/>
      <w:r>
        <w:rPr>
          <w:rFonts w:hint="eastAsia" w:hAnsi="黑体" w:cs="Arial"/>
          <w:color w:val="000000" w:themeColor="text1"/>
          <w14:textFill>
            <w14:solidFill>
              <w14:schemeClr w14:val="tx1"/>
            </w14:solidFill>
          </w14:textFill>
        </w:rPr>
        <w:t>年</w:t>
      </w:r>
      <w:bookmarkEnd w:id="361"/>
      <w:bookmarkEnd w:id="362"/>
      <w:bookmarkEnd w:id="363"/>
    </w:p>
    <w:bookmarkEnd w:id="364"/>
    <w:p>
      <w:pPr>
        <w:pStyle w:val="15"/>
        <w:spacing w:after="0" w:line="240" w:lineRule="auto"/>
        <w:ind w:firstLine="420"/>
      </w:pPr>
      <w:r>
        <w:rPr>
          <w:rFonts w:hint="eastAsia"/>
        </w:rPr>
        <w:t>组织通过碳排放评估获得的碳排放绩效参数、碳排放核算或核查报告来确定本组织的基准年。</w:t>
      </w:r>
    </w:p>
    <w:p>
      <w:pPr>
        <w:pStyle w:val="15"/>
        <w:spacing w:after="0" w:line="240" w:lineRule="auto"/>
        <w:ind w:firstLine="420"/>
      </w:pPr>
      <w:r>
        <w:rPr>
          <w:rFonts w:hint="eastAsia"/>
        </w:rPr>
        <w:t>当出现以下一种或多种情况时，应对基准年进行调整：</w:t>
      </w:r>
    </w:p>
    <w:p>
      <w:pPr>
        <w:pStyle w:val="182"/>
        <w:numPr>
          <w:ilvl w:val="0"/>
          <w:numId w:val="46"/>
        </w:numPr>
      </w:pPr>
      <w:r>
        <w:rPr>
          <w:rFonts w:hint="eastAsia"/>
        </w:rPr>
        <w:t>碳排放绩效参数不再反映本组织的碳排放绩效时；</w:t>
      </w:r>
    </w:p>
    <w:p>
      <w:pPr>
        <w:pStyle w:val="182"/>
      </w:pPr>
      <w:r>
        <w:rPr>
          <w:rFonts w:hint="eastAsia"/>
        </w:rPr>
        <w:t>相关因素发生了重大变化时；</w:t>
      </w:r>
    </w:p>
    <w:p>
      <w:pPr>
        <w:pStyle w:val="187"/>
        <w:numPr>
          <w:ilvl w:val="0"/>
          <w:numId w:val="0"/>
        </w:numPr>
        <w:ind w:left="420" w:hanging="374"/>
      </w:pPr>
      <w:r>
        <w:rPr>
          <w:rFonts w:ascii="黑体" w:eastAsia="黑体"/>
        </w:rPr>
        <w:t>注：</w:t>
      </w:r>
      <w:r>
        <w:rPr>
          <w:rFonts w:hint="eastAsia"/>
        </w:rPr>
        <w:t>相关因素是指变化较少但对碳排放绩效有显著影响的因素，如：组织边界、碳排放管理体系范围、设施规模、产品或服务的种类等。</w:t>
      </w:r>
    </w:p>
    <w:p>
      <w:pPr>
        <w:pStyle w:val="182"/>
      </w:pPr>
      <w:r>
        <w:rPr>
          <w:rFonts w:hint="eastAsia"/>
        </w:rPr>
        <w:t>排放因子和核算方法发生变化时。</w:t>
      </w:r>
    </w:p>
    <w:p>
      <w:pPr>
        <w:pStyle w:val="15"/>
        <w:spacing w:after="0" w:line="240" w:lineRule="auto"/>
        <w:ind w:firstLine="420"/>
      </w:pPr>
      <w:r>
        <w:rPr>
          <w:rFonts w:hint="eastAsia"/>
        </w:rPr>
        <w:t>组织应保留基准年数据、相关变量和对基准年调整的文件化信息。</w:t>
      </w:r>
    </w:p>
    <w:p>
      <w:pPr>
        <w:pStyle w:val="187"/>
        <w:numPr>
          <w:ilvl w:val="0"/>
          <w:numId w:val="0"/>
        </w:numPr>
        <w:ind w:left="420" w:hanging="374"/>
      </w:pPr>
      <w:r>
        <w:rPr>
          <w:rFonts w:ascii="黑体" w:eastAsia="黑体"/>
        </w:rPr>
        <w:t>注：</w:t>
      </w:r>
      <w:r>
        <w:rPr>
          <w:rFonts w:hint="eastAsia"/>
        </w:rPr>
        <w:t>组织宜建立碳排放管理信息系统，其中包括基准年数据。</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65" w:name="_Toc151494024"/>
      <w:bookmarkStart w:id="366" w:name="_Toc153186175"/>
      <w:bookmarkStart w:id="367" w:name="_Toc144924129"/>
      <w:bookmarkStart w:id="368" w:name="_Hlk151511368"/>
      <w:r>
        <w:rPr>
          <w:rFonts w:hint="eastAsia" w:hAnsi="黑体" w:cs="Arial"/>
          <w:color w:val="000000" w:themeColor="text1"/>
          <w14:textFill>
            <w14:solidFill>
              <w14:schemeClr w14:val="tx1"/>
            </w14:solidFill>
          </w14:textFill>
        </w:rPr>
        <w:t>碳排放管理相关数据收集的策划</w:t>
      </w:r>
      <w:bookmarkEnd w:id="365"/>
      <w:bookmarkEnd w:id="366"/>
      <w:bookmarkEnd w:id="367"/>
    </w:p>
    <w:bookmarkEnd w:id="368"/>
    <w:p>
      <w:pPr>
        <w:pStyle w:val="15"/>
        <w:spacing w:after="0" w:line="240" w:lineRule="auto"/>
        <w:ind w:firstLine="420"/>
      </w:pPr>
      <w:bookmarkStart w:id="369" w:name="_Toc151494025"/>
      <w:bookmarkStart w:id="370" w:name="_Hlk151511384"/>
      <w:bookmarkStart w:id="371" w:name="_Toc144924130"/>
      <w:r>
        <w:rPr>
          <w:rFonts w:hint="eastAsia"/>
        </w:rPr>
        <w:t>针对运行中影响碳排放绩效的关键特性，组织应确保按规定的时间间隔对其进行监测、测量和分析。组织应制定碳排放管理数据收集计划并定期进行数据采集。计划还需确定数据收集的途径、频次和方法。</w:t>
      </w:r>
    </w:p>
    <w:p>
      <w:pPr>
        <w:pStyle w:val="15"/>
        <w:spacing w:after="0" w:line="240" w:lineRule="auto"/>
        <w:ind w:firstLine="420"/>
      </w:pPr>
      <w:r>
        <w:rPr>
          <w:rFonts w:hint="eastAsia"/>
        </w:rPr>
        <w:t>碳排放管理数据来源的变更可能会引起温室气体直接和间接排放的波动，以及组织碳排放管理体系范围内的碳排放波动，数据来源优先次序如下：</w:t>
      </w:r>
    </w:p>
    <w:p>
      <w:pPr>
        <w:pStyle w:val="182"/>
        <w:numPr>
          <w:ilvl w:val="0"/>
          <w:numId w:val="47"/>
        </w:numPr>
      </w:pPr>
      <w:r>
        <w:rPr>
          <w:rFonts w:hint="eastAsia"/>
        </w:rPr>
        <w:t>财务数据：财务系统结算或导出的活动水平数据；</w:t>
      </w:r>
    </w:p>
    <w:p>
      <w:pPr>
        <w:pStyle w:val="182"/>
        <w:numPr>
          <w:ilvl w:val="0"/>
          <w:numId w:val="47"/>
        </w:numPr>
      </w:pPr>
      <w:r>
        <w:rPr>
          <w:rFonts w:hint="eastAsia"/>
        </w:rPr>
        <w:t>连续测量数据：仪器不间断测量的活动水平数据；</w:t>
      </w:r>
    </w:p>
    <w:p>
      <w:pPr>
        <w:pStyle w:val="182"/>
        <w:numPr>
          <w:ilvl w:val="0"/>
          <w:numId w:val="47"/>
        </w:numPr>
      </w:pPr>
      <w:r>
        <w:rPr>
          <w:rFonts w:hint="eastAsia"/>
        </w:rPr>
        <w:t>间歇测量数据：仪器间歇工作测量的活动水平数据；</w:t>
      </w:r>
    </w:p>
    <w:p>
      <w:pPr>
        <w:pStyle w:val="182"/>
        <w:numPr>
          <w:ilvl w:val="0"/>
          <w:numId w:val="47"/>
        </w:numPr>
      </w:pPr>
      <w:r>
        <w:rPr>
          <w:rFonts w:hint="eastAsia"/>
        </w:rPr>
        <w:t>推估数据：非仪器测量的、根据一定方法推估的活动水平数据。</w:t>
      </w:r>
    </w:p>
    <w:p>
      <w:pPr>
        <w:pStyle w:val="182"/>
        <w:numPr>
          <w:ilvl w:val="0"/>
          <w:numId w:val="47"/>
        </w:numPr>
      </w:pPr>
      <w:r>
        <w:rPr>
          <w:rFonts w:hint="eastAsia"/>
        </w:rPr>
        <w:t>本行业、本地区、国内、国际的先进值。</w:t>
      </w:r>
    </w:p>
    <w:p>
      <w:pPr>
        <w:pStyle w:val="187"/>
        <w:numPr>
          <w:ilvl w:val="0"/>
          <w:numId w:val="0"/>
        </w:numPr>
        <w:ind w:left="420" w:hanging="374"/>
      </w:pPr>
      <w:r>
        <w:rPr>
          <w:rFonts w:ascii="黑体" w:eastAsia="黑体"/>
        </w:rPr>
        <w:t>注：</w:t>
      </w:r>
      <w:r>
        <w:rPr>
          <w:rFonts w:hint="eastAsia"/>
        </w:rPr>
        <w:t>碳排放管理数据的收集频次可以小时、日、旬、月、年确定。相关数据的收集方式宜从人工采集逐渐转向为数字化在线采集。</w:t>
      </w:r>
    </w:p>
    <w:p>
      <w:pPr>
        <w:pStyle w:val="64"/>
        <w:ind w:firstLine="420"/>
      </w:pPr>
      <w:r>
        <w:rPr>
          <w:rFonts w:hint="eastAsia"/>
        </w:rPr>
        <w:t>组织应按照规定的时间间隔更新碳排放管理数据。</w:t>
      </w:r>
    </w:p>
    <w:p>
      <w:pPr>
        <w:pStyle w:val="64"/>
        <w:ind w:firstLine="420"/>
      </w:pPr>
      <w:r>
        <w:rPr>
          <w:rFonts w:hint="eastAsia"/>
        </w:rPr>
        <w:t>组织收集的碳排放管理数据文件化信息应予以保留。</w:t>
      </w:r>
    </w:p>
    <w:bookmarkEnd w:id="369"/>
    <w:bookmarkEnd w:id="370"/>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72" w:name="_Toc153186176"/>
      <w:bookmarkStart w:id="373" w:name="_Toc151494026"/>
      <w:r>
        <w:rPr>
          <w:rFonts w:hint="eastAsia" w:hAnsi="黑体" w:cs="Arial"/>
          <w:color w:val="000000" w:themeColor="text1"/>
          <w14:textFill>
            <w14:solidFill>
              <w14:schemeClr w14:val="tx1"/>
            </w14:solidFill>
          </w14:textFill>
        </w:rPr>
        <w:t>合规义务</w:t>
      </w:r>
      <w:bookmarkEnd w:id="371"/>
      <w:bookmarkEnd w:id="372"/>
      <w:bookmarkEnd w:id="373"/>
    </w:p>
    <w:p>
      <w:pPr>
        <w:pStyle w:val="15"/>
        <w:spacing w:after="0" w:line="240" w:lineRule="auto"/>
        <w:ind w:firstLine="420"/>
      </w:pPr>
      <w:r>
        <w:rPr>
          <w:rFonts w:hint="eastAsia"/>
        </w:rPr>
        <w:t>组织应遵守适用于碳排放管理的法律法规或其他具有自愿性质的要求，合规义务包括但不限于：</w:t>
      </w:r>
    </w:p>
    <w:p>
      <w:pPr>
        <w:pStyle w:val="64"/>
        <w:numPr>
          <w:ilvl w:val="0"/>
          <w:numId w:val="48"/>
        </w:numPr>
      </w:pPr>
      <w:r>
        <w:rPr>
          <w:rFonts w:hint="eastAsia"/>
        </w:rPr>
        <w:t>确定并获取与其碳排放管理体系相关的合规义务；</w:t>
      </w:r>
    </w:p>
    <w:p>
      <w:pPr>
        <w:pStyle w:val="64"/>
        <w:numPr>
          <w:ilvl w:val="0"/>
          <w:numId w:val="48"/>
        </w:numPr>
      </w:pPr>
      <w:r>
        <w:rPr>
          <w:rFonts w:hint="eastAsia"/>
        </w:rPr>
        <w:t>确定如何将合规义务应用于组织；</w:t>
      </w:r>
    </w:p>
    <w:p>
      <w:pPr>
        <w:pStyle w:val="64"/>
        <w:numPr>
          <w:ilvl w:val="0"/>
          <w:numId w:val="48"/>
        </w:numPr>
      </w:pPr>
      <w:r>
        <w:rPr>
          <w:rFonts w:hint="eastAsia"/>
        </w:rPr>
        <w:t>在建立、实施、保持和持续改进其碳排放管理体系时考虑合规义务。</w:t>
      </w:r>
    </w:p>
    <w:p>
      <w:pPr>
        <w:pStyle w:val="15"/>
        <w:spacing w:after="0" w:line="240" w:lineRule="auto"/>
        <w:ind w:firstLine="420"/>
      </w:pPr>
      <w:r>
        <w:rPr>
          <w:rFonts w:hint="eastAsia"/>
        </w:rPr>
        <w:t>组织应保留文件化信息，作为合规义务结果的证据。</w:t>
      </w:r>
    </w:p>
    <w:p>
      <w:pPr>
        <w:pStyle w:val="187"/>
        <w:numPr>
          <w:ilvl w:val="0"/>
          <w:numId w:val="0"/>
        </w:numPr>
        <w:ind w:left="420" w:hanging="374"/>
      </w:pPr>
      <w:r>
        <w:rPr>
          <w:rFonts w:ascii="黑体" w:eastAsia="黑体"/>
        </w:rPr>
        <w:t>注：</w:t>
      </w:r>
      <w:r>
        <w:rPr>
          <w:rFonts w:hint="eastAsia"/>
        </w:rPr>
        <w:t>合规义务可能会给组织带来风险和机遇。</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74" w:name="_Toc153186177"/>
      <w:bookmarkStart w:id="375" w:name="_Toc144924131"/>
      <w:bookmarkStart w:id="376" w:name="_Toc151494027"/>
      <w:r>
        <w:rPr>
          <w:rFonts w:hint="eastAsia" w:hAnsi="黑体" w:cs="Arial"/>
          <w:color w:val="000000" w:themeColor="text1"/>
          <w14:textFill>
            <w14:solidFill>
              <w14:schemeClr w14:val="tx1"/>
            </w14:solidFill>
          </w14:textFill>
        </w:rPr>
        <w:t>变更的策划</w:t>
      </w:r>
      <w:bookmarkEnd w:id="374"/>
      <w:bookmarkEnd w:id="375"/>
      <w:bookmarkEnd w:id="376"/>
    </w:p>
    <w:p>
      <w:pPr>
        <w:pStyle w:val="15"/>
        <w:spacing w:after="0" w:line="240" w:lineRule="auto"/>
        <w:ind w:firstLine="420"/>
      </w:pPr>
      <w:r>
        <w:rPr>
          <w:rFonts w:hint="eastAsia"/>
        </w:rPr>
        <w:t>当组织确定碳排放管理体系的变更需求时，应对变更进行整体策划及实施。</w:t>
      </w:r>
    </w:p>
    <w:p>
      <w:pPr>
        <w:pStyle w:val="15"/>
        <w:spacing w:after="0" w:line="240" w:lineRule="auto"/>
        <w:ind w:firstLine="420"/>
      </w:pPr>
      <w:r>
        <w:rPr>
          <w:rFonts w:hint="eastAsia"/>
        </w:rPr>
        <w:t>作为所确定的碳排放管理体系变更结果的证据的文件化信息应可供使用。</w:t>
      </w:r>
    </w:p>
    <w:p>
      <w:pPr>
        <w:pStyle w:val="112"/>
        <w:numPr>
          <w:ilvl w:val="0"/>
          <w:numId w:val="33"/>
        </w:numPr>
        <w:spacing w:before="312" w:after="312"/>
        <w:ind w:left="0"/>
      </w:pPr>
      <w:bookmarkStart w:id="377" w:name="_Toc151494028"/>
      <w:bookmarkStart w:id="378" w:name="_Toc144924132"/>
      <w:bookmarkStart w:id="379" w:name="_Toc153186178"/>
      <w:r>
        <w:rPr>
          <w:rFonts w:hint="eastAsia"/>
        </w:rPr>
        <w:t>支持</w:t>
      </w:r>
      <w:bookmarkEnd w:id="377"/>
      <w:bookmarkEnd w:id="378"/>
      <w:bookmarkEnd w:id="379"/>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80" w:name="_Toc151494029"/>
      <w:bookmarkStart w:id="381" w:name="_Toc153186179"/>
      <w:bookmarkStart w:id="382" w:name="_Toc144924133"/>
      <w:r>
        <w:rPr>
          <w:rFonts w:hint="eastAsia" w:hAnsi="黑体" w:cs="Arial"/>
          <w:color w:val="000000" w:themeColor="text1"/>
          <w14:textFill>
            <w14:solidFill>
              <w14:schemeClr w14:val="tx1"/>
            </w14:solidFill>
          </w14:textFill>
        </w:rPr>
        <w:t>总则</w:t>
      </w:r>
      <w:bookmarkEnd w:id="380"/>
      <w:bookmarkEnd w:id="381"/>
      <w:bookmarkEnd w:id="382"/>
    </w:p>
    <w:p>
      <w:pPr>
        <w:pStyle w:val="15"/>
        <w:spacing w:after="0" w:line="240" w:lineRule="auto"/>
        <w:ind w:firstLine="420"/>
      </w:pPr>
      <w:bookmarkStart w:id="383" w:name="_Hlk151511479"/>
      <w:r>
        <w:rPr>
          <w:rFonts w:hint="eastAsia"/>
        </w:rPr>
        <w:t>组织应通过建立系统的文件体系和管理制度、增强人员能力与意识、配备相应资源等，为碳排放管理体系的建立、实施、保持和持续改进提供支撑。</w:t>
      </w:r>
    </w:p>
    <w:bookmarkEnd w:id="383"/>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84" w:name="_Toc144924134"/>
      <w:bookmarkStart w:id="385" w:name="_Toc151494030"/>
      <w:bookmarkStart w:id="386" w:name="_Toc153186180"/>
      <w:bookmarkStart w:id="387" w:name="_Hlk144923780"/>
      <w:r>
        <w:rPr>
          <w:rFonts w:hint="eastAsia" w:hAnsi="黑体" w:cs="Arial"/>
          <w:color w:val="000000" w:themeColor="text1"/>
          <w14:textFill>
            <w14:solidFill>
              <w14:schemeClr w14:val="tx1"/>
            </w14:solidFill>
          </w14:textFill>
        </w:rPr>
        <w:t>文件和记录</w:t>
      </w:r>
      <w:bookmarkEnd w:id="384"/>
      <w:bookmarkEnd w:id="385"/>
      <w:bookmarkEnd w:id="386"/>
    </w:p>
    <w:bookmarkEnd w:id="387"/>
    <w:p>
      <w:pPr>
        <w:pStyle w:val="15"/>
        <w:spacing w:after="0" w:line="240" w:lineRule="auto"/>
        <w:ind w:firstLine="420"/>
      </w:pPr>
      <w:r>
        <w:rPr>
          <w:rFonts w:hint="eastAsia"/>
        </w:rPr>
        <w:t>组织应建立必要的文件化信息，包括碳排放管理手册、程序文件、管理制度、作业文件、记录等。</w:t>
      </w:r>
    </w:p>
    <w:p>
      <w:pPr>
        <w:pStyle w:val="15"/>
        <w:spacing w:after="0" w:line="240" w:lineRule="auto"/>
        <w:ind w:firstLine="420"/>
      </w:pPr>
      <w:r>
        <w:rPr>
          <w:rFonts w:hint="eastAsia"/>
        </w:rPr>
        <w:t>组织应当建立程序，对文件的编制、标识、审查、批准、发放、使用、更改、废止和评审等过程做出明确规定。其中：</w:t>
      </w:r>
    </w:p>
    <w:p>
      <w:pPr>
        <w:pStyle w:val="182"/>
        <w:numPr>
          <w:ilvl w:val="0"/>
          <w:numId w:val="49"/>
        </w:numPr>
      </w:pPr>
      <w:r>
        <w:rPr>
          <w:rFonts w:hint="eastAsia"/>
        </w:rPr>
        <w:t>碳排放管理手册包括碳排放管理的范围和边界、碳排放管理目标和方针、碳排放管理团队及职责权限、程序文件概要等；</w:t>
      </w:r>
    </w:p>
    <w:p>
      <w:pPr>
        <w:pStyle w:val="182"/>
      </w:pPr>
      <w:r>
        <w:rPr>
          <w:rFonts w:hint="eastAsia"/>
        </w:rPr>
        <w:t>程序文件包括响应本文件各事项的要求，包括但不限于：</w:t>
      </w:r>
    </w:p>
    <w:p>
      <w:pPr>
        <w:pStyle w:val="182"/>
        <w:numPr>
          <w:ilvl w:val="0"/>
          <w:numId w:val="0"/>
        </w:numPr>
        <w:ind w:left="851"/>
      </w:pPr>
      <w:r>
        <w:rPr>
          <w:rFonts w:hint="eastAsia"/>
        </w:rPr>
        <w:t>——责任部门；</w:t>
      </w:r>
    </w:p>
    <w:p>
      <w:pPr>
        <w:pStyle w:val="182"/>
        <w:numPr>
          <w:ilvl w:val="0"/>
          <w:numId w:val="0"/>
        </w:numPr>
        <w:ind w:left="851"/>
      </w:pPr>
      <w:r>
        <w:rPr>
          <w:rFonts w:hint="eastAsia"/>
        </w:rPr>
        <w:t>——实施的程序。</w:t>
      </w:r>
    </w:p>
    <w:p>
      <w:pPr>
        <w:pStyle w:val="182"/>
      </w:pPr>
      <w:r>
        <w:rPr>
          <w:rFonts w:hint="eastAsia"/>
        </w:rPr>
        <w:t>碳排放管理制度是对具体事项的要求细则和约束性文件，包括但不限于：</w:t>
      </w:r>
    </w:p>
    <w:p>
      <w:pPr>
        <w:pStyle w:val="182"/>
        <w:numPr>
          <w:ilvl w:val="0"/>
          <w:numId w:val="0"/>
        </w:numPr>
        <w:ind w:left="851"/>
      </w:pPr>
      <w:r>
        <w:rPr>
          <w:rFonts w:hint="eastAsia"/>
        </w:rPr>
        <w:t>——碳排放管理考核制度；</w:t>
      </w:r>
    </w:p>
    <w:p>
      <w:pPr>
        <w:pStyle w:val="182"/>
        <w:numPr>
          <w:ilvl w:val="0"/>
          <w:numId w:val="0"/>
        </w:numPr>
        <w:ind w:left="851"/>
      </w:pPr>
      <w:r>
        <w:rPr>
          <w:rFonts w:hint="eastAsia"/>
        </w:rPr>
        <w:t>——人员培训管理制度；</w:t>
      </w:r>
    </w:p>
    <w:p>
      <w:pPr>
        <w:pStyle w:val="182"/>
        <w:numPr>
          <w:ilvl w:val="0"/>
          <w:numId w:val="0"/>
        </w:numPr>
        <w:ind w:left="851"/>
      </w:pPr>
      <w:r>
        <w:rPr>
          <w:rFonts w:hint="eastAsia"/>
        </w:rPr>
        <w:t>——碳排放监测与统计管理制度等。</w:t>
      </w:r>
    </w:p>
    <w:p>
      <w:pPr>
        <w:pStyle w:val="182"/>
      </w:pPr>
      <w:r>
        <w:rPr>
          <w:rFonts w:hint="eastAsia"/>
        </w:rPr>
        <w:t>碳排放管理相关活动的具体技术要求，可在作业文件中体现；</w:t>
      </w:r>
    </w:p>
    <w:p>
      <w:pPr>
        <w:pStyle w:val="182"/>
      </w:pPr>
      <w:r>
        <w:rPr>
          <w:rFonts w:hint="eastAsia"/>
        </w:rPr>
        <w:t>碳排放管理体系的文件化信息记录包括但不限于：</w:t>
      </w:r>
    </w:p>
    <w:p>
      <w:pPr>
        <w:pStyle w:val="182"/>
        <w:numPr>
          <w:ilvl w:val="0"/>
          <w:numId w:val="0"/>
        </w:numPr>
        <w:ind w:left="851"/>
      </w:pPr>
      <w:r>
        <w:rPr>
          <w:rFonts w:hint="eastAsia"/>
        </w:rPr>
        <w:t>——碳排放管理体系范围和边界；</w:t>
      </w:r>
    </w:p>
    <w:p>
      <w:pPr>
        <w:pStyle w:val="182"/>
        <w:numPr>
          <w:ilvl w:val="0"/>
          <w:numId w:val="0"/>
        </w:numPr>
        <w:ind w:left="851"/>
      </w:pPr>
      <w:r>
        <w:rPr>
          <w:rFonts w:hint="eastAsia"/>
        </w:rPr>
        <w:t>——碳排放管理目标和方针；</w:t>
      </w:r>
    </w:p>
    <w:p>
      <w:pPr>
        <w:pStyle w:val="182"/>
        <w:numPr>
          <w:ilvl w:val="0"/>
          <w:numId w:val="0"/>
        </w:numPr>
        <w:ind w:left="851"/>
      </w:pPr>
      <w:r>
        <w:rPr>
          <w:rFonts w:hint="eastAsia"/>
        </w:rPr>
        <w:t xml:space="preserve">——碳排放评估记录； </w:t>
      </w:r>
    </w:p>
    <w:p>
      <w:pPr>
        <w:pStyle w:val="182"/>
        <w:numPr>
          <w:ilvl w:val="0"/>
          <w:numId w:val="0"/>
        </w:numPr>
        <w:ind w:left="851"/>
      </w:pPr>
      <w:r>
        <w:rPr>
          <w:rFonts w:hint="eastAsia"/>
        </w:rPr>
        <w:t>——碳排放源清单；</w:t>
      </w:r>
    </w:p>
    <w:p>
      <w:pPr>
        <w:pStyle w:val="182"/>
        <w:numPr>
          <w:ilvl w:val="0"/>
          <w:numId w:val="0"/>
        </w:numPr>
        <w:ind w:left="851"/>
      </w:pPr>
      <w:r>
        <w:rPr>
          <w:rFonts w:hint="eastAsia"/>
        </w:rPr>
        <w:t xml:space="preserve">——碳排放绩效参数； </w:t>
      </w:r>
    </w:p>
    <w:p>
      <w:pPr>
        <w:pStyle w:val="182"/>
        <w:numPr>
          <w:ilvl w:val="0"/>
          <w:numId w:val="0"/>
        </w:numPr>
        <w:ind w:left="851"/>
      </w:pPr>
      <w:r>
        <w:rPr>
          <w:rFonts w:hint="eastAsia"/>
        </w:rPr>
        <w:t>——碳排放基准年；</w:t>
      </w:r>
    </w:p>
    <w:p>
      <w:pPr>
        <w:pStyle w:val="182"/>
        <w:numPr>
          <w:ilvl w:val="0"/>
          <w:numId w:val="0"/>
        </w:numPr>
        <w:ind w:left="851"/>
      </w:pPr>
      <w:r>
        <w:rPr>
          <w:rFonts w:hint="eastAsia"/>
        </w:rPr>
        <w:t>——碳排放数据收集记录；</w:t>
      </w:r>
    </w:p>
    <w:p>
      <w:pPr>
        <w:pStyle w:val="182"/>
        <w:numPr>
          <w:ilvl w:val="0"/>
          <w:numId w:val="0"/>
        </w:numPr>
        <w:ind w:left="851"/>
      </w:pPr>
      <w:r>
        <w:rPr>
          <w:rFonts w:hint="eastAsia"/>
        </w:rPr>
        <w:t>——法律法规、政策、标准及合规义务；</w:t>
      </w:r>
    </w:p>
    <w:p>
      <w:pPr>
        <w:pStyle w:val="182"/>
        <w:numPr>
          <w:ilvl w:val="0"/>
          <w:numId w:val="0"/>
        </w:numPr>
        <w:ind w:left="851"/>
      </w:pPr>
      <w:r>
        <w:rPr>
          <w:rFonts w:hint="eastAsia"/>
        </w:rPr>
        <w:t>——碳排放管理体系变更；</w:t>
      </w:r>
    </w:p>
    <w:p>
      <w:pPr>
        <w:pStyle w:val="182"/>
        <w:numPr>
          <w:ilvl w:val="0"/>
          <w:numId w:val="0"/>
        </w:numPr>
        <w:ind w:left="851"/>
      </w:pPr>
      <w:r>
        <w:rPr>
          <w:rFonts w:hint="eastAsia"/>
        </w:rPr>
        <w:t>——碳排放强度基准年和先进值；</w:t>
      </w:r>
    </w:p>
    <w:p>
      <w:pPr>
        <w:pStyle w:val="182"/>
        <w:numPr>
          <w:ilvl w:val="0"/>
          <w:numId w:val="0"/>
        </w:numPr>
        <w:ind w:left="851"/>
      </w:pPr>
      <w:r>
        <w:rPr>
          <w:rFonts w:hint="eastAsia"/>
        </w:rPr>
        <w:t>——碳排放管理实施方案实施过程与结果评价记录；</w:t>
      </w:r>
    </w:p>
    <w:p>
      <w:pPr>
        <w:pStyle w:val="182"/>
        <w:numPr>
          <w:ilvl w:val="0"/>
          <w:numId w:val="0"/>
        </w:numPr>
        <w:ind w:left="851"/>
      </w:pPr>
      <w:r>
        <w:rPr>
          <w:rFonts w:hint="eastAsia"/>
        </w:rPr>
        <w:t>——碳排放信息交流记录；</w:t>
      </w:r>
    </w:p>
    <w:p>
      <w:pPr>
        <w:pStyle w:val="182"/>
        <w:numPr>
          <w:ilvl w:val="0"/>
          <w:numId w:val="0"/>
        </w:numPr>
        <w:ind w:left="851"/>
      </w:pPr>
      <w:r>
        <w:rPr>
          <w:rFonts w:hint="eastAsia"/>
        </w:rPr>
        <w:t>——碳排放监测、测量和评价记录；</w:t>
      </w:r>
    </w:p>
    <w:p>
      <w:pPr>
        <w:pStyle w:val="182"/>
        <w:numPr>
          <w:ilvl w:val="0"/>
          <w:numId w:val="0"/>
        </w:numPr>
        <w:ind w:left="851"/>
      </w:pPr>
      <w:r>
        <w:rPr>
          <w:rFonts w:hint="eastAsia"/>
        </w:rPr>
        <w:t>——碳排放管理评审；</w:t>
      </w:r>
    </w:p>
    <w:p>
      <w:pPr>
        <w:pStyle w:val="182"/>
        <w:numPr>
          <w:ilvl w:val="0"/>
          <w:numId w:val="0"/>
        </w:numPr>
        <w:ind w:left="851"/>
      </w:pPr>
      <w:r>
        <w:rPr>
          <w:rFonts w:hint="eastAsia"/>
        </w:rPr>
        <w:t>——碳排放报告；</w:t>
      </w:r>
    </w:p>
    <w:p>
      <w:pPr>
        <w:pStyle w:val="182"/>
        <w:numPr>
          <w:ilvl w:val="0"/>
          <w:numId w:val="0"/>
        </w:numPr>
        <w:ind w:left="851"/>
      </w:pPr>
      <w:r>
        <w:rPr>
          <w:rFonts w:hint="eastAsia"/>
        </w:rPr>
        <w:t>——碳排放核查报告等。</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88" w:name="_Toc153186181"/>
      <w:bookmarkStart w:id="389" w:name="_Toc144924135"/>
      <w:bookmarkStart w:id="390" w:name="_Toc151494031"/>
      <w:r>
        <w:rPr>
          <w:rFonts w:hint="eastAsia" w:hAnsi="黑体" w:cs="Arial"/>
          <w:color w:val="000000" w:themeColor="text1"/>
          <w14:textFill>
            <w14:solidFill>
              <w14:schemeClr w14:val="tx1"/>
            </w14:solidFill>
          </w14:textFill>
        </w:rPr>
        <w:t>能力和意识</w:t>
      </w:r>
      <w:bookmarkEnd w:id="388"/>
      <w:bookmarkEnd w:id="389"/>
      <w:bookmarkEnd w:id="390"/>
    </w:p>
    <w:p>
      <w:pPr>
        <w:pStyle w:val="15"/>
        <w:spacing w:after="0" w:line="240" w:lineRule="auto"/>
        <w:ind w:firstLine="420"/>
      </w:pPr>
      <w:r>
        <w:rPr>
          <w:rFonts w:hint="eastAsia"/>
        </w:rPr>
        <w:t>为确保碳排放管理相关人员具备相应能力和意识，组织可采取以下措施：</w:t>
      </w:r>
    </w:p>
    <w:p>
      <w:pPr>
        <w:pStyle w:val="182"/>
        <w:numPr>
          <w:ilvl w:val="0"/>
          <w:numId w:val="50"/>
        </w:numPr>
      </w:pPr>
      <w:r>
        <w:rPr>
          <w:rFonts w:hint="eastAsia"/>
        </w:rPr>
        <w:t>从教育、培训、技能和经验等方面考察、聘用人员；</w:t>
      </w:r>
    </w:p>
    <w:p>
      <w:pPr>
        <w:pStyle w:val="182"/>
      </w:pPr>
      <w:r>
        <w:rPr>
          <w:rFonts w:hint="eastAsia"/>
        </w:rPr>
        <w:t>制定培训计划，对碳排放管理相关的人员进行专项培训，培训内容包括但不限于：</w:t>
      </w:r>
    </w:p>
    <w:p>
      <w:pPr>
        <w:pStyle w:val="182"/>
        <w:numPr>
          <w:ilvl w:val="0"/>
          <w:numId w:val="0"/>
        </w:numPr>
        <w:ind w:left="851"/>
      </w:pPr>
      <w:r>
        <w:rPr>
          <w:rFonts w:hint="eastAsia"/>
        </w:rPr>
        <w:t>——碳排放法律、法规、政策、标准和其他要求；</w:t>
      </w:r>
    </w:p>
    <w:p>
      <w:pPr>
        <w:pStyle w:val="182"/>
        <w:numPr>
          <w:ilvl w:val="0"/>
          <w:numId w:val="0"/>
        </w:numPr>
        <w:ind w:left="851"/>
      </w:pPr>
      <w:r>
        <w:rPr>
          <w:rFonts w:hint="eastAsia"/>
        </w:rPr>
        <w:t>——碳排放管理体系标准及体系文件；</w:t>
      </w:r>
    </w:p>
    <w:p>
      <w:pPr>
        <w:pStyle w:val="182"/>
        <w:numPr>
          <w:ilvl w:val="0"/>
          <w:numId w:val="0"/>
        </w:numPr>
        <w:ind w:left="851"/>
      </w:pPr>
      <w:r>
        <w:rPr>
          <w:rFonts w:hint="eastAsia"/>
        </w:rPr>
        <w:t>——碳排放核算和报告指南；</w:t>
      </w:r>
    </w:p>
    <w:p>
      <w:pPr>
        <w:pStyle w:val="182"/>
        <w:numPr>
          <w:ilvl w:val="0"/>
          <w:numId w:val="0"/>
        </w:numPr>
        <w:ind w:left="851"/>
      </w:pPr>
      <w:r>
        <w:rPr>
          <w:rFonts w:hint="eastAsia"/>
        </w:rPr>
        <w:t>——碳排放权交易和履约；</w:t>
      </w:r>
    </w:p>
    <w:p>
      <w:pPr>
        <w:pStyle w:val="182"/>
        <w:numPr>
          <w:ilvl w:val="0"/>
          <w:numId w:val="0"/>
        </w:numPr>
        <w:ind w:left="851"/>
      </w:pPr>
      <w:r>
        <w:rPr>
          <w:rFonts w:hint="eastAsia"/>
        </w:rPr>
        <w:t>——国内外碳资讯；</w:t>
      </w:r>
    </w:p>
    <w:p>
      <w:pPr>
        <w:pStyle w:val="182"/>
        <w:numPr>
          <w:ilvl w:val="0"/>
          <w:numId w:val="0"/>
        </w:numPr>
        <w:ind w:left="851"/>
      </w:pPr>
      <w:r>
        <w:rPr>
          <w:rFonts w:hint="eastAsia"/>
        </w:rPr>
        <w:t>——碳资产管理；</w:t>
      </w:r>
    </w:p>
    <w:p>
      <w:pPr>
        <w:pStyle w:val="182"/>
        <w:numPr>
          <w:ilvl w:val="0"/>
          <w:numId w:val="0"/>
        </w:numPr>
        <w:ind w:left="851"/>
      </w:pPr>
      <w:r>
        <w:rPr>
          <w:rFonts w:hint="eastAsia"/>
        </w:rPr>
        <w:t>——碳减排技术。</w:t>
      </w:r>
    </w:p>
    <w:p>
      <w:pPr>
        <w:pStyle w:val="182"/>
      </w:pPr>
      <w:r>
        <w:rPr>
          <w:rFonts w:hint="eastAsia"/>
        </w:rPr>
        <w:t>增加对碳排放管理人员的专业要求，包括但不限于：</w:t>
      </w:r>
    </w:p>
    <w:p>
      <w:pPr>
        <w:pStyle w:val="182"/>
        <w:numPr>
          <w:ilvl w:val="0"/>
          <w:numId w:val="0"/>
        </w:numPr>
        <w:ind w:left="851"/>
      </w:pPr>
      <w:r>
        <w:rPr>
          <w:rFonts w:hint="eastAsia"/>
        </w:rPr>
        <w:t>——环境科学、化学、能源与动力工程等相关学科知识；</w:t>
      </w:r>
    </w:p>
    <w:p>
      <w:pPr>
        <w:pStyle w:val="182"/>
        <w:numPr>
          <w:ilvl w:val="0"/>
          <w:numId w:val="0"/>
        </w:numPr>
        <w:ind w:left="851"/>
      </w:pPr>
      <w:r>
        <w:rPr>
          <w:rFonts w:hint="eastAsia"/>
        </w:rPr>
        <w:t>——碳排放企业管理体系和碳排放监管相关政策、法律、法规、标准等知识。</w:t>
      </w:r>
    </w:p>
    <w:p>
      <w:pPr>
        <w:pStyle w:val="182"/>
      </w:pPr>
      <w:r>
        <w:rPr>
          <w:rFonts w:hint="eastAsia"/>
        </w:rPr>
        <w:t>采取措施增强员工意识，包括但不限于：</w:t>
      </w:r>
    </w:p>
    <w:p>
      <w:pPr>
        <w:pStyle w:val="182"/>
        <w:numPr>
          <w:ilvl w:val="0"/>
          <w:numId w:val="0"/>
        </w:numPr>
        <w:ind w:left="851"/>
      </w:pPr>
      <w:r>
        <w:rPr>
          <w:rFonts w:hint="eastAsia"/>
        </w:rPr>
        <w:t>——加大碳减排宣传力度；</w:t>
      </w:r>
    </w:p>
    <w:p>
      <w:pPr>
        <w:pStyle w:val="182"/>
        <w:numPr>
          <w:ilvl w:val="0"/>
          <w:numId w:val="0"/>
        </w:numPr>
        <w:ind w:left="851"/>
      </w:pPr>
      <w:r>
        <w:rPr>
          <w:rFonts w:hint="eastAsia"/>
        </w:rPr>
        <w:t>——执行考核制度，鼓励个人减排行为。</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91" w:name="_Toc151494032"/>
      <w:bookmarkStart w:id="392" w:name="_Toc153186182"/>
      <w:bookmarkStart w:id="393" w:name="_Toc144924136"/>
      <w:r>
        <w:rPr>
          <w:rFonts w:hint="eastAsia" w:hAnsi="黑体" w:cs="Arial"/>
          <w:color w:val="000000" w:themeColor="text1"/>
          <w14:textFill>
            <w14:solidFill>
              <w14:schemeClr w14:val="tx1"/>
            </w14:solidFill>
          </w14:textFill>
        </w:rPr>
        <w:t>资源配置</w:t>
      </w:r>
      <w:bookmarkEnd w:id="391"/>
      <w:bookmarkEnd w:id="392"/>
      <w:bookmarkEnd w:id="393"/>
    </w:p>
    <w:p>
      <w:pPr>
        <w:pStyle w:val="15"/>
        <w:spacing w:after="0" w:line="240" w:lineRule="auto"/>
        <w:ind w:firstLine="420"/>
      </w:pPr>
      <w:r>
        <w:rPr>
          <w:rFonts w:hint="eastAsia"/>
        </w:rPr>
        <w:t>组织应为碳排放管理体系的建立和运行配置相应资源，包括但不限于：</w:t>
      </w:r>
    </w:p>
    <w:p>
      <w:pPr>
        <w:pStyle w:val="182"/>
        <w:numPr>
          <w:ilvl w:val="0"/>
          <w:numId w:val="51"/>
        </w:numPr>
        <w:rPr>
          <w:rFonts w:hint="eastAsia" w:hAnsi="宋体"/>
          <w:kern w:val="2"/>
          <w:szCs w:val="21"/>
        </w:rPr>
      </w:pPr>
      <w:r>
        <w:rPr>
          <w:rFonts w:hint="eastAsia" w:hAnsi="宋体"/>
          <w:kern w:val="2"/>
          <w:szCs w:val="21"/>
        </w:rPr>
        <w:t>人力资源，包括但不限于：</w:t>
      </w:r>
    </w:p>
    <w:p>
      <w:pPr>
        <w:pStyle w:val="182"/>
        <w:numPr>
          <w:ilvl w:val="0"/>
          <w:numId w:val="0"/>
        </w:numPr>
        <w:ind w:left="851"/>
        <w:rPr>
          <w:rFonts w:hint="eastAsia" w:hAnsi="宋体"/>
          <w:kern w:val="2"/>
          <w:szCs w:val="21"/>
        </w:rPr>
      </w:pPr>
      <w:r>
        <w:rPr>
          <w:rFonts w:hint="eastAsia" w:hAnsi="宋体"/>
          <w:kern w:val="2"/>
          <w:szCs w:val="21"/>
        </w:rPr>
        <w:t>——内审员；</w:t>
      </w:r>
    </w:p>
    <w:p>
      <w:pPr>
        <w:pStyle w:val="182"/>
        <w:numPr>
          <w:ilvl w:val="0"/>
          <w:numId w:val="0"/>
        </w:numPr>
        <w:ind w:left="851"/>
      </w:pPr>
      <w:r>
        <w:rPr>
          <w:rFonts w:hint="eastAsia"/>
        </w:rPr>
        <w:t>——碳排放活动数据计量管理人员；</w:t>
      </w:r>
    </w:p>
    <w:p>
      <w:pPr>
        <w:pStyle w:val="182"/>
        <w:numPr>
          <w:ilvl w:val="0"/>
          <w:numId w:val="0"/>
        </w:numPr>
        <w:ind w:left="851"/>
      </w:pPr>
      <w:r>
        <w:rPr>
          <w:rFonts w:hint="eastAsia"/>
        </w:rPr>
        <w:t>——熟悉碳排放核算与报告的人员；</w:t>
      </w:r>
    </w:p>
    <w:p>
      <w:pPr>
        <w:pStyle w:val="182"/>
        <w:numPr>
          <w:ilvl w:val="0"/>
          <w:numId w:val="0"/>
        </w:numPr>
        <w:ind w:left="851"/>
      </w:pPr>
      <w:r>
        <w:rPr>
          <w:rFonts w:hint="eastAsia"/>
        </w:rPr>
        <w:t>——熟悉碳资产管理的人员等。</w:t>
      </w:r>
    </w:p>
    <w:p>
      <w:pPr>
        <w:pStyle w:val="182"/>
      </w:pPr>
      <w:r>
        <w:rPr>
          <w:rFonts w:hint="eastAsia"/>
        </w:rPr>
        <w:t>设备设施，包括但不限于：</w:t>
      </w:r>
    </w:p>
    <w:p>
      <w:pPr>
        <w:pStyle w:val="182"/>
        <w:numPr>
          <w:ilvl w:val="0"/>
          <w:numId w:val="0"/>
        </w:numPr>
        <w:ind w:left="851"/>
      </w:pPr>
      <w:r>
        <w:rPr>
          <w:rFonts w:hint="eastAsia"/>
        </w:rPr>
        <w:t>——建筑物和相关设施；</w:t>
      </w:r>
    </w:p>
    <w:p>
      <w:pPr>
        <w:pStyle w:val="182"/>
        <w:numPr>
          <w:ilvl w:val="0"/>
          <w:numId w:val="0"/>
        </w:numPr>
        <w:ind w:left="851"/>
      </w:pPr>
      <w:r>
        <w:rPr>
          <w:rFonts w:hint="eastAsia"/>
        </w:rPr>
        <w:t>——设备，包括硬件和软件；</w:t>
      </w:r>
    </w:p>
    <w:p>
      <w:pPr>
        <w:pStyle w:val="182"/>
        <w:numPr>
          <w:ilvl w:val="0"/>
          <w:numId w:val="0"/>
        </w:numPr>
        <w:ind w:left="851"/>
      </w:pPr>
      <w:r>
        <w:rPr>
          <w:rFonts w:hint="eastAsia"/>
        </w:rPr>
        <w:t>——运输资源；</w:t>
      </w:r>
    </w:p>
    <w:p>
      <w:pPr>
        <w:pStyle w:val="182"/>
        <w:numPr>
          <w:ilvl w:val="0"/>
          <w:numId w:val="0"/>
        </w:numPr>
        <w:ind w:left="851"/>
      </w:pPr>
      <w:r>
        <w:rPr>
          <w:rFonts w:hint="eastAsia"/>
        </w:rPr>
        <w:t>——信息和通讯技术；</w:t>
      </w:r>
    </w:p>
    <w:p>
      <w:pPr>
        <w:pStyle w:val="182"/>
        <w:numPr>
          <w:ilvl w:val="0"/>
          <w:numId w:val="0"/>
        </w:numPr>
        <w:ind w:left="851"/>
      </w:pPr>
      <w:r>
        <w:rPr>
          <w:rFonts w:hint="eastAsia"/>
        </w:rPr>
        <w:t>——监测计量设备等。</w:t>
      </w:r>
    </w:p>
    <w:p>
      <w:pPr>
        <w:pStyle w:val="182"/>
      </w:pPr>
      <w:r>
        <w:rPr>
          <w:rFonts w:hint="eastAsia"/>
        </w:rPr>
        <w:t>资金支持，包括但不限于：</w:t>
      </w:r>
    </w:p>
    <w:p>
      <w:pPr>
        <w:pStyle w:val="182"/>
        <w:numPr>
          <w:ilvl w:val="0"/>
          <w:numId w:val="0"/>
        </w:numPr>
        <w:ind w:left="851"/>
      </w:pPr>
      <w:r>
        <w:rPr>
          <w:rFonts w:hint="eastAsia"/>
        </w:rPr>
        <w:t>——推行碳排放管理实施方案所需的资金；</w:t>
      </w:r>
    </w:p>
    <w:p>
      <w:pPr>
        <w:pStyle w:val="182"/>
        <w:numPr>
          <w:ilvl w:val="0"/>
          <w:numId w:val="0"/>
        </w:numPr>
        <w:ind w:left="851"/>
      </w:pPr>
      <w:r>
        <w:rPr>
          <w:rFonts w:hint="eastAsia"/>
        </w:rPr>
        <w:t>——进行碳排放绩效考核的奖励资金等。</w:t>
      </w:r>
    </w:p>
    <w:p>
      <w:pPr>
        <w:pStyle w:val="182"/>
      </w:pPr>
      <w:r>
        <w:rPr>
          <w:rFonts w:hint="eastAsia"/>
        </w:rPr>
        <w:t>技术资源，包括但不限于：</w:t>
      </w:r>
    </w:p>
    <w:p>
      <w:pPr>
        <w:pStyle w:val="182"/>
        <w:numPr>
          <w:ilvl w:val="0"/>
          <w:numId w:val="0"/>
        </w:numPr>
        <w:ind w:left="851"/>
      </w:pPr>
      <w:r>
        <w:rPr>
          <w:rFonts w:hint="eastAsia"/>
        </w:rPr>
        <w:t>——第三方技术服务机构；</w:t>
      </w:r>
    </w:p>
    <w:p>
      <w:pPr>
        <w:pStyle w:val="182"/>
        <w:numPr>
          <w:ilvl w:val="0"/>
          <w:numId w:val="0"/>
        </w:numPr>
        <w:ind w:left="851"/>
      </w:pPr>
      <w:r>
        <w:rPr>
          <w:rFonts w:hint="eastAsia"/>
        </w:rPr>
        <w:t>——先进适用的减排技术信息等。</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394" w:name="_Toc151494033"/>
      <w:bookmarkStart w:id="395" w:name="_Toc153186183"/>
      <w:r>
        <w:rPr>
          <w:rFonts w:hint="eastAsia" w:hAnsi="黑体" w:cs="Arial"/>
          <w:color w:val="000000" w:themeColor="text1"/>
          <w14:textFill>
            <w14:solidFill>
              <w14:schemeClr w14:val="tx1"/>
            </w14:solidFill>
          </w14:textFill>
        </w:rPr>
        <w:t>碳排放信息交流</w:t>
      </w:r>
      <w:bookmarkEnd w:id="394"/>
      <w:bookmarkEnd w:id="395"/>
    </w:p>
    <w:p>
      <w:pPr>
        <w:autoSpaceDE w:val="0"/>
        <w:autoSpaceDN w:val="0"/>
        <w:spacing w:line="240" w:lineRule="auto"/>
        <w:ind w:firstLine="420" w:firstLineChars="200"/>
        <w:rPr>
          <w:rFonts w:ascii="宋体" w:hAnsi="Times New Roman"/>
        </w:rPr>
      </w:pPr>
      <w:r>
        <w:rPr>
          <w:rFonts w:hint="eastAsia" w:ascii="宋体" w:hAnsi="Times New Roman"/>
        </w:rPr>
        <w:t>组织应根据其参与的强制性要求或自愿性协议，确定其相应的信息交流方式，如：</w:t>
      </w:r>
    </w:p>
    <w:p>
      <w:pPr>
        <w:pStyle w:val="182"/>
        <w:numPr>
          <w:ilvl w:val="0"/>
          <w:numId w:val="52"/>
        </w:numPr>
      </w:pPr>
      <w:r>
        <w:rPr>
          <w:rFonts w:hint="eastAsia"/>
        </w:rPr>
        <w:t>通过气候变化或减排网站、参加会议等方式与外部相关方进行信息交流；</w:t>
      </w:r>
    </w:p>
    <w:p>
      <w:pPr>
        <w:pStyle w:val="182"/>
      </w:pPr>
      <w:r>
        <w:rPr>
          <w:rFonts w:hint="eastAsia"/>
        </w:rPr>
        <w:t>接受并及时处理执法监查、监测信息；</w:t>
      </w:r>
    </w:p>
    <w:p>
      <w:pPr>
        <w:pStyle w:val="182"/>
      </w:pPr>
      <w:r>
        <w:t>定期编写碳排放报告和开展第三方核查</w:t>
      </w:r>
      <w:r>
        <w:rPr>
          <w:rFonts w:hint="eastAsia"/>
        </w:rPr>
        <w:t>；</w:t>
      </w:r>
    </w:p>
    <w:p>
      <w:pPr>
        <w:pStyle w:val="182"/>
      </w:pPr>
      <w:r>
        <w:rPr>
          <w:rFonts w:hint="eastAsia"/>
        </w:rPr>
        <w:t>定期以企业碳账户评级、宣传和跟踪组织的碳排放管理目标、碳排放自测报告、碳信息披露、社会责任报告、可持续发展报告等形式报告碳排放现状等。</w:t>
      </w:r>
    </w:p>
    <w:p>
      <w:pPr>
        <w:pStyle w:val="112"/>
        <w:numPr>
          <w:ilvl w:val="0"/>
          <w:numId w:val="33"/>
        </w:numPr>
        <w:spacing w:before="312" w:after="312"/>
        <w:ind w:left="0"/>
      </w:pPr>
      <w:bookmarkStart w:id="396" w:name="_Toc153186184"/>
      <w:bookmarkStart w:id="397" w:name="_Toc151494034"/>
      <w:bookmarkStart w:id="398" w:name="_Toc144924137"/>
      <w:r>
        <w:rPr>
          <w:rFonts w:hint="eastAsia"/>
        </w:rPr>
        <w:t>运行</w:t>
      </w:r>
      <w:bookmarkEnd w:id="396"/>
      <w:bookmarkEnd w:id="397"/>
      <w:bookmarkEnd w:id="398"/>
    </w:p>
    <w:p>
      <w:pPr>
        <w:pStyle w:val="113"/>
        <w:numPr>
          <w:ilvl w:val="1"/>
          <w:numId w:val="33"/>
        </w:numPr>
        <w:rPr>
          <w:rFonts w:hint="eastAsia" w:hAnsi="黑体" w:cs="Arial"/>
          <w:color w:val="000000" w:themeColor="text1"/>
          <w14:textFill>
            <w14:solidFill>
              <w14:schemeClr w14:val="tx1"/>
            </w14:solidFill>
          </w14:textFill>
        </w:rPr>
      </w:pPr>
      <w:bookmarkStart w:id="399" w:name="_Toc153186185"/>
      <w:bookmarkStart w:id="400" w:name="_Toc151494035"/>
      <w:bookmarkStart w:id="401" w:name="_Toc144924138"/>
      <w:r>
        <w:rPr>
          <w:rFonts w:hint="eastAsia"/>
        </w:rPr>
        <w:t>总则</w:t>
      </w:r>
      <w:bookmarkEnd w:id="399"/>
      <w:bookmarkEnd w:id="400"/>
      <w:bookmarkEnd w:id="401"/>
    </w:p>
    <w:p>
      <w:pPr>
        <w:pStyle w:val="15"/>
        <w:spacing w:after="0" w:line="240" w:lineRule="auto"/>
        <w:ind w:firstLine="420"/>
      </w:pPr>
      <w:bookmarkStart w:id="402" w:name="_Hlk151511573"/>
      <w:r>
        <w:rPr>
          <w:rFonts w:hint="eastAsia"/>
        </w:rPr>
        <w:t>本阶段主要依托已建立的碳排放管理体系，为实现碳排放管理目标而开展相应的活动。</w:t>
      </w:r>
    </w:p>
    <w:bookmarkEnd w:id="402"/>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403" w:name="_Toc144924140"/>
      <w:bookmarkEnd w:id="403"/>
      <w:bookmarkStart w:id="404" w:name="_Toc144924139"/>
      <w:bookmarkEnd w:id="404"/>
      <w:bookmarkStart w:id="405" w:name="_Toc144924141"/>
      <w:bookmarkEnd w:id="405"/>
      <w:bookmarkStart w:id="406" w:name="_Toc144924144"/>
      <w:bookmarkEnd w:id="406"/>
      <w:bookmarkStart w:id="407" w:name="_Toc144924143"/>
      <w:bookmarkEnd w:id="407"/>
      <w:bookmarkStart w:id="408" w:name="_Toc144924142"/>
      <w:bookmarkEnd w:id="408"/>
      <w:bookmarkStart w:id="409" w:name="_Toc151494036"/>
      <w:bookmarkStart w:id="410" w:name="_Toc144924145"/>
      <w:bookmarkStart w:id="411" w:name="_Toc153186186"/>
      <w:r>
        <w:rPr>
          <w:rFonts w:hint="eastAsia" w:hAnsi="黑体" w:cs="Arial"/>
          <w:color w:val="000000" w:themeColor="text1"/>
          <w14:textFill>
            <w14:solidFill>
              <w14:schemeClr w14:val="tx1"/>
            </w14:solidFill>
          </w14:textFill>
        </w:rPr>
        <w:t>设计</w:t>
      </w:r>
      <w:bookmarkEnd w:id="409"/>
      <w:bookmarkEnd w:id="410"/>
      <w:bookmarkEnd w:id="411"/>
    </w:p>
    <w:p>
      <w:pPr>
        <w:pStyle w:val="15"/>
        <w:spacing w:after="0" w:line="240" w:lineRule="auto"/>
        <w:ind w:firstLine="420"/>
      </w:pPr>
      <w:r>
        <w:rPr>
          <w:rFonts w:hint="eastAsia"/>
        </w:rPr>
        <w:t>组织应在新建和改进设施、设备、系统和过程的设计时，并对碳排放绩效具有重大影响的情况下，应考虑碳排放绩效改进的机会及运行控制。</w:t>
      </w:r>
    </w:p>
    <w:p>
      <w:pPr>
        <w:pStyle w:val="15"/>
        <w:spacing w:after="0" w:line="240" w:lineRule="auto"/>
        <w:ind w:firstLine="420"/>
      </w:pPr>
      <w:r>
        <w:rPr>
          <w:rFonts w:hint="eastAsia"/>
        </w:rPr>
        <w:t>适当时，碳排放绩效评价的结果应纳入相关项目的规范、设计和采购活动中。</w:t>
      </w:r>
    </w:p>
    <w:p>
      <w:pPr>
        <w:pStyle w:val="15"/>
        <w:spacing w:after="0" w:line="240" w:lineRule="auto"/>
        <w:ind w:firstLine="420"/>
      </w:pPr>
      <w:r>
        <w:rPr>
          <w:rFonts w:hint="eastAsia"/>
        </w:rPr>
        <w:t>组织应保留与碳排放绩效相关的设计活动的文件化信息。</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412" w:name="_Toc151494037"/>
      <w:bookmarkStart w:id="413" w:name="_Toc153186187"/>
      <w:bookmarkStart w:id="414" w:name="_Toc144924146"/>
      <w:r>
        <w:rPr>
          <w:rFonts w:hint="eastAsia" w:hAnsi="黑体" w:cs="Arial"/>
          <w:color w:val="000000" w:themeColor="text1"/>
          <w14:textFill>
            <w14:solidFill>
              <w14:schemeClr w14:val="tx1"/>
            </w14:solidFill>
          </w14:textFill>
        </w:rPr>
        <w:t>采购控制</w:t>
      </w:r>
      <w:bookmarkEnd w:id="412"/>
      <w:bookmarkEnd w:id="413"/>
      <w:bookmarkEnd w:id="414"/>
    </w:p>
    <w:p>
      <w:pPr>
        <w:pStyle w:val="15"/>
        <w:spacing w:after="0" w:line="240" w:lineRule="auto"/>
        <w:ind w:firstLine="420"/>
      </w:pPr>
      <w:r>
        <w:rPr>
          <w:rFonts w:hint="eastAsia"/>
        </w:rPr>
        <w:t>组织采购可能对碳排放绩效产生影响的服务、产品或设备时，应考虑以下因素包括但不限于：</w:t>
      </w:r>
    </w:p>
    <w:p>
      <w:pPr>
        <w:pStyle w:val="182"/>
        <w:numPr>
          <w:ilvl w:val="0"/>
          <w:numId w:val="53"/>
        </w:numPr>
      </w:pPr>
      <w:r>
        <w:rPr>
          <w:rFonts w:hint="eastAsia"/>
        </w:rPr>
        <w:t>法律法规、标准及其他要求；</w:t>
      </w:r>
    </w:p>
    <w:p>
      <w:pPr>
        <w:pStyle w:val="182"/>
      </w:pPr>
      <w:r>
        <w:rPr>
          <w:rFonts w:hint="eastAsia"/>
        </w:rPr>
        <w:t>供应商能力和信誉；</w:t>
      </w:r>
    </w:p>
    <w:p>
      <w:pPr>
        <w:pStyle w:val="182"/>
      </w:pPr>
      <w:r>
        <w:rPr>
          <w:rFonts w:hint="eastAsia"/>
        </w:rPr>
        <w:t>采购标准或规范；</w:t>
      </w:r>
    </w:p>
    <w:p>
      <w:pPr>
        <w:pStyle w:val="182"/>
      </w:pPr>
      <w:r>
        <w:rPr>
          <w:rFonts w:hint="eastAsia"/>
        </w:rPr>
        <w:t>采购产品和服务的绿色低碳的属性、碳足迹表现；</w:t>
      </w:r>
    </w:p>
    <w:p>
      <w:pPr>
        <w:pStyle w:val="182"/>
      </w:pPr>
      <w:r>
        <w:rPr>
          <w:rFonts w:hint="eastAsia"/>
        </w:rPr>
        <w:t>与自身基础的匹配性。</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415" w:name="_Toc151494038"/>
      <w:bookmarkStart w:id="416" w:name="_Toc144924147"/>
      <w:bookmarkStart w:id="417" w:name="_Toc153186188"/>
      <w:r>
        <w:rPr>
          <w:rFonts w:hint="eastAsia" w:hAnsi="黑体" w:cs="Arial"/>
          <w:color w:val="000000" w:themeColor="text1"/>
          <w14:textFill>
            <w14:solidFill>
              <w14:schemeClr w14:val="tx1"/>
            </w14:solidFill>
          </w14:textFill>
        </w:rPr>
        <w:t>运行控制</w:t>
      </w:r>
      <w:bookmarkEnd w:id="415"/>
      <w:bookmarkEnd w:id="416"/>
      <w:bookmarkEnd w:id="417"/>
    </w:p>
    <w:p>
      <w:pPr>
        <w:pStyle w:val="15"/>
        <w:spacing w:after="0" w:line="240" w:lineRule="auto"/>
        <w:ind w:firstLine="420"/>
      </w:pPr>
      <w:r>
        <w:rPr>
          <w:rFonts w:hint="eastAsia"/>
        </w:rPr>
        <w:t>运行控制内容包括但不限于：</w:t>
      </w:r>
    </w:p>
    <w:p>
      <w:pPr>
        <w:pStyle w:val="182"/>
        <w:numPr>
          <w:ilvl w:val="0"/>
          <w:numId w:val="54"/>
        </w:numPr>
      </w:pPr>
      <w:r>
        <w:rPr>
          <w:rFonts w:hint="eastAsia"/>
        </w:rPr>
        <w:t>按照作业文件运行和维护设施、设备、系统和过程；</w:t>
      </w:r>
    </w:p>
    <w:p>
      <w:pPr>
        <w:pStyle w:val="182"/>
      </w:pPr>
      <w:r>
        <w:rPr>
          <w:rFonts w:hint="eastAsia"/>
        </w:rPr>
        <w:t>推进碳排放管理实施方案，包括但不限于：</w:t>
      </w:r>
    </w:p>
    <w:p>
      <w:pPr>
        <w:pStyle w:val="182"/>
        <w:numPr>
          <w:ilvl w:val="0"/>
          <w:numId w:val="0"/>
        </w:numPr>
        <w:ind w:left="851"/>
      </w:pPr>
      <w:r>
        <w:rPr>
          <w:rFonts w:hint="eastAsia"/>
        </w:rPr>
        <w:t>——物流运输升级；</w:t>
      </w:r>
    </w:p>
    <w:p>
      <w:pPr>
        <w:pStyle w:val="182"/>
        <w:numPr>
          <w:ilvl w:val="0"/>
          <w:numId w:val="0"/>
        </w:numPr>
        <w:ind w:left="851"/>
      </w:pPr>
      <w:r>
        <w:rPr>
          <w:rFonts w:hint="eastAsia"/>
        </w:rPr>
        <w:t>——管理系统智能化改造；</w:t>
      </w:r>
    </w:p>
    <w:p>
      <w:pPr>
        <w:pStyle w:val="182"/>
        <w:numPr>
          <w:ilvl w:val="0"/>
          <w:numId w:val="0"/>
        </w:numPr>
        <w:ind w:left="851"/>
      </w:pPr>
      <w:r>
        <w:rPr>
          <w:rFonts w:hint="eastAsia"/>
        </w:rPr>
        <w:t>——运输手段升级换代；</w:t>
      </w:r>
    </w:p>
    <w:p>
      <w:pPr>
        <w:pStyle w:val="182"/>
        <w:numPr>
          <w:ilvl w:val="0"/>
          <w:numId w:val="0"/>
        </w:numPr>
        <w:ind w:left="851"/>
      </w:pPr>
      <w:r>
        <w:rPr>
          <w:rFonts w:hint="eastAsia"/>
        </w:rPr>
        <w:t>——燃料转换或替代；</w:t>
      </w:r>
    </w:p>
    <w:p>
      <w:pPr>
        <w:pStyle w:val="182"/>
        <w:numPr>
          <w:ilvl w:val="0"/>
          <w:numId w:val="0"/>
        </w:numPr>
        <w:ind w:left="851"/>
      </w:pPr>
      <w:r>
        <w:rPr>
          <w:rFonts w:hint="eastAsia"/>
        </w:rPr>
        <w:t>——运输路径优化；</w:t>
      </w:r>
    </w:p>
    <w:p>
      <w:pPr>
        <w:pStyle w:val="182"/>
        <w:numPr>
          <w:ilvl w:val="0"/>
          <w:numId w:val="0"/>
        </w:numPr>
        <w:ind w:left="851"/>
      </w:pPr>
      <w:r>
        <w:rPr>
          <w:rFonts w:hint="eastAsia"/>
        </w:rPr>
        <w:t>——工艺设备更新；</w:t>
      </w:r>
    </w:p>
    <w:p>
      <w:pPr>
        <w:pStyle w:val="182"/>
        <w:numPr>
          <w:ilvl w:val="0"/>
          <w:numId w:val="0"/>
        </w:numPr>
        <w:ind w:left="851"/>
      </w:pPr>
      <w:r>
        <w:rPr>
          <w:rFonts w:hint="eastAsia"/>
        </w:rPr>
        <w:t>——产品升级换代；</w:t>
      </w:r>
    </w:p>
    <w:p>
      <w:pPr>
        <w:pStyle w:val="182"/>
        <w:numPr>
          <w:ilvl w:val="0"/>
          <w:numId w:val="0"/>
        </w:numPr>
        <w:ind w:left="851"/>
      </w:pPr>
      <w:r>
        <w:rPr>
          <w:rFonts w:hint="eastAsia"/>
        </w:rPr>
        <w:t>——能效提升活动；</w:t>
      </w:r>
    </w:p>
    <w:p>
      <w:pPr>
        <w:pStyle w:val="182"/>
        <w:numPr>
          <w:ilvl w:val="0"/>
          <w:numId w:val="0"/>
        </w:numPr>
        <w:ind w:left="851"/>
      </w:pPr>
      <w:r>
        <w:rPr>
          <w:rFonts w:hint="eastAsia"/>
        </w:rPr>
        <w:t>——在工艺过程的设计开发中提高新能源和可再生能源的利用程度，如太阳能和地热能等；</w:t>
      </w:r>
    </w:p>
    <w:p>
      <w:pPr>
        <w:pStyle w:val="182"/>
        <w:numPr>
          <w:ilvl w:val="0"/>
          <w:numId w:val="0"/>
        </w:numPr>
        <w:ind w:left="851"/>
      </w:pPr>
      <w:r>
        <w:rPr>
          <w:rFonts w:hint="eastAsia"/>
        </w:rPr>
        <w:t>——设置废弃物处置政策；</w:t>
      </w:r>
    </w:p>
    <w:p>
      <w:pPr>
        <w:pStyle w:val="182"/>
        <w:numPr>
          <w:ilvl w:val="0"/>
          <w:numId w:val="0"/>
        </w:numPr>
        <w:ind w:left="851"/>
      </w:pPr>
      <w:r>
        <w:rPr>
          <w:rFonts w:hint="eastAsia"/>
        </w:rPr>
        <w:t>——科学设计废弃物处置流程；</w:t>
      </w:r>
    </w:p>
    <w:p>
      <w:pPr>
        <w:pStyle w:val="182"/>
        <w:numPr>
          <w:ilvl w:val="0"/>
          <w:numId w:val="0"/>
        </w:numPr>
        <w:ind w:left="851"/>
      </w:pPr>
      <w:r>
        <w:rPr>
          <w:rFonts w:hint="eastAsia"/>
        </w:rPr>
        <w:t>——更新废弃物处理技术。</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418" w:name="_Toc151494039"/>
      <w:bookmarkStart w:id="419" w:name="_Toc144924148"/>
      <w:bookmarkStart w:id="420" w:name="_Toc153186189"/>
      <w:r>
        <w:rPr>
          <w:rFonts w:hint="eastAsia" w:hAnsi="黑体" w:cs="Arial"/>
          <w:color w:val="000000" w:themeColor="text1"/>
          <w14:textFill>
            <w14:solidFill>
              <w14:schemeClr w14:val="tx1"/>
            </w14:solidFill>
          </w14:textFill>
        </w:rPr>
        <w:t>碳排放核算与报告</w:t>
      </w:r>
      <w:bookmarkEnd w:id="418"/>
      <w:bookmarkEnd w:id="419"/>
      <w:bookmarkEnd w:id="420"/>
    </w:p>
    <w:p>
      <w:pPr>
        <w:pStyle w:val="15"/>
        <w:spacing w:after="0" w:line="240" w:lineRule="auto"/>
        <w:ind w:firstLine="420"/>
      </w:pPr>
      <w:r>
        <w:rPr>
          <w:rFonts w:hint="eastAsia"/>
        </w:rPr>
        <w:t>组织应根据国家和深圳市的核算和报告指南及标准进行碳排放量核算，确保：</w:t>
      </w:r>
    </w:p>
    <w:p>
      <w:pPr>
        <w:pStyle w:val="182"/>
        <w:numPr>
          <w:ilvl w:val="0"/>
          <w:numId w:val="55"/>
        </w:numPr>
      </w:pPr>
      <w:r>
        <w:rPr>
          <w:rFonts w:hint="eastAsia"/>
        </w:rPr>
        <w:t>核算和报告的数据与其预定的用途相符；</w:t>
      </w:r>
    </w:p>
    <w:p>
      <w:pPr>
        <w:pStyle w:val="182"/>
      </w:pPr>
      <w:r>
        <w:rPr>
          <w:rFonts w:hint="eastAsia"/>
        </w:rPr>
        <w:t>核算和报告符合相关准则的要求，组织应：</w:t>
      </w:r>
    </w:p>
    <w:p>
      <w:pPr>
        <w:pStyle w:val="182"/>
        <w:numPr>
          <w:ilvl w:val="0"/>
          <w:numId w:val="0"/>
        </w:numPr>
        <w:ind w:left="851"/>
      </w:pPr>
      <w:r>
        <w:rPr>
          <w:rFonts w:hint="eastAsia"/>
        </w:rPr>
        <w:t>——建立和应用质量管理程序，对相关文档和信息进行管理；</w:t>
      </w:r>
    </w:p>
    <w:p>
      <w:pPr>
        <w:pStyle w:val="182"/>
        <w:numPr>
          <w:ilvl w:val="0"/>
          <w:numId w:val="0"/>
        </w:numPr>
        <w:ind w:left="851"/>
      </w:pPr>
      <w:r>
        <w:rPr>
          <w:rFonts w:hint="eastAsia"/>
        </w:rPr>
        <w:t>——制定数据缺失、生产活动变化以及报告变更方法的应对措施；</w:t>
      </w:r>
    </w:p>
    <w:p>
      <w:pPr>
        <w:pStyle w:val="182"/>
        <w:numPr>
          <w:ilvl w:val="0"/>
          <w:numId w:val="0"/>
        </w:numPr>
        <w:ind w:left="851"/>
      </w:pPr>
      <w:r>
        <w:rPr>
          <w:rFonts w:hint="eastAsia"/>
        </w:rPr>
        <w:t>——建立新增设施管理程序，对新增设施排放量及生产数据进行监测与统计；</w:t>
      </w:r>
    </w:p>
    <w:p>
      <w:pPr>
        <w:pStyle w:val="182"/>
        <w:numPr>
          <w:ilvl w:val="0"/>
          <w:numId w:val="0"/>
        </w:numPr>
        <w:ind w:left="851"/>
      </w:pPr>
      <w:r>
        <w:rPr>
          <w:rFonts w:hint="eastAsia"/>
        </w:rPr>
        <w:t>——对不确定性进行分析，并尽量减少不确定性。</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421" w:name="_Toc144924151"/>
      <w:bookmarkEnd w:id="421"/>
      <w:bookmarkStart w:id="422" w:name="_Toc144924156"/>
      <w:bookmarkEnd w:id="422"/>
      <w:bookmarkStart w:id="423" w:name="_Toc144924155"/>
      <w:bookmarkEnd w:id="423"/>
      <w:bookmarkStart w:id="424" w:name="_Toc144924152"/>
      <w:bookmarkEnd w:id="424"/>
      <w:bookmarkStart w:id="425" w:name="_Toc144924150"/>
      <w:bookmarkEnd w:id="425"/>
      <w:bookmarkStart w:id="426" w:name="_Toc144924149"/>
      <w:bookmarkEnd w:id="426"/>
      <w:bookmarkStart w:id="427" w:name="_Toc144924153"/>
      <w:bookmarkEnd w:id="427"/>
      <w:bookmarkStart w:id="428" w:name="_Toc144924158"/>
      <w:bookmarkEnd w:id="428"/>
      <w:bookmarkStart w:id="429" w:name="_Toc144924157"/>
      <w:bookmarkEnd w:id="429"/>
      <w:bookmarkStart w:id="430" w:name="_Toc144924154"/>
      <w:bookmarkEnd w:id="430"/>
      <w:bookmarkStart w:id="431" w:name="_Toc144924160"/>
      <w:bookmarkEnd w:id="431"/>
      <w:bookmarkStart w:id="432" w:name="_Toc144924161"/>
      <w:bookmarkEnd w:id="432"/>
      <w:bookmarkStart w:id="433" w:name="_Toc144924159"/>
      <w:bookmarkEnd w:id="433"/>
      <w:bookmarkStart w:id="434" w:name="_Toc153186190"/>
      <w:bookmarkStart w:id="435" w:name="_Toc144924162"/>
      <w:bookmarkStart w:id="436" w:name="_Toc151494040"/>
      <w:r>
        <w:rPr>
          <w:rFonts w:hint="eastAsia" w:hAnsi="黑体" w:cs="Arial"/>
          <w:color w:val="000000" w:themeColor="text1"/>
          <w14:textFill>
            <w14:solidFill>
              <w14:schemeClr w14:val="tx1"/>
            </w14:solidFill>
          </w14:textFill>
        </w:rPr>
        <w:t>碳资产管理</w:t>
      </w:r>
      <w:bookmarkEnd w:id="434"/>
      <w:bookmarkEnd w:id="435"/>
      <w:bookmarkEnd w:id="436"/>
    </w:p>
    <w:p>
      <w:pPr>
        <w:pStyle w:val="297"/>
        <w:numPr>
          <w:ilvl w:val="2"/>
          <w:numId w:val="33"/>
        </w:numPr>
        <w:spacing w:before="156" w:beforeLines="50" w:after="156" w:afterLines="50"/>
        <w:rPr>
          <w:rFonts w:hint="eastAsia" w:hAnsi="黑体" w:cs="Arial"/>
          <w:color w:val="000000" w:themeColor="text1"/>
          <w14:textFill>
            <w14:solidFill>
              <w14:schemeClr w14:val="tx1"/>
            </w14:solidFill>
          </w14:textFill>
        </w:rPr>
      </w:pPr>
      <w:bookmarkStart w:id="437" w:name="_Toc151494041"/>
      <w:bookmarkStart w:id="438" w:name="_Toc153186191"/>
      <w:r>
        <w:rPr>
          <w:rFonts w:hint="eastAsia" w:hAnsi="黑体" w:cs="Arial"/>
          <w:color w:val="000000" w:themeColor="text1"/>
          <w14:textFill>
            <w14:solidFill>
              <w14:schemeClr w14:val="tx1"/>
            </w14:solidFill>
          </w14:textFill>
        </w:rPr>
        <w:t>碳配额和碳排放权交易管理</w:t>
      </w:r>
      <w:bookmarkEnd w:id="437"/>
      <w:bookmarkEnd w:id="438"/>
    </w:p>
    <w:p>
      <w:pPr>
        <w:pStyle w:val="15"/>
        <w:spacing w:after="0" w:line="240" w:lineRule="auto"/>
        <w:ind w:firstLine="420"/>
      </w:pPr>
      <w:r>
        <w:rPr>
          <w:rFonts w:hint="eastAsia"/>
        </w:rPr>
        <w:t>若组织属于全国碳市场或深圳碳市场的重点排放单位行列：</w:t>
      </w:r>
    </w:p>
    <w:p>
      <w:pPr>
        <w:pStyle w:val="182"/>
        <w:numPr>
          <w:ilvl w:val="0"/>
          <w:numId w:val="56"/>
        </w:numPr>
      </w:pPr>
      <w:r>
        <w:rPr>
          <w:rFonts w:hint="eastAsia"/>
        </w:rPr>
        <w:t>指定专人研究组织所属碳排放权交易市场的配额核定方法、分配方法等和碳交易账户管理；</w:t>
      </w:r>
    </w:p>
    <w:p>
      <w:pPr>
        <w:pStyle w:val="182"/>
      </w:pPr>
      <w:r>
        <w:rPr>
          <w:rFonts w:hint="eastAsia"/>
        </w:rPr>
        <w:t>当确定采用碳排放权交易方式进行履约时，应关注履约成本、履约时机等；</w:t>
      </w:r>
    </w:p>
    <w:p>
      <w:pPr>
        <w:pStyle w:val="182"/>
      </w:pPr>
      <w:r>
        <w:rPr>
          <w:rFonts w:hint="eastAsia"/>
        </w:rPr>
        <w:t>根据所属碳市场的相关规定，在履约期根据碳排放的核查及审定结果，严格按照国家或深圳有关规定提交足额碳配额和（或）碳信用以履约。</w:t>
      </w:r>
    </w:p>
    <w:p>
      <w:pPr>
        <w:pStyle w:val="297"/>
        <w:numPr>
          <w:ilvl w:val="2"/>
          <w:numId w:val="33"/>
        </w:numPr>
        <w:spacing w:before="156" w:beforeLines="50" w:after="156" w:afterLines="50"/>
        <w:rPr>
          <w:rFonts w:hint="eastAsia" w:hAnsi="黑体" w:cs="Arial"/>
          <w:color w:val="000000" w:themeColor="text1"/>
          <w14:textFill>
            <w14:solidFill>
              <w14:schemeClr w14:val="tx1"/>
            </w14:solidFill>
          </w14:textFill>
        </w:rPr>
      </w:pPr>
      <w:bookmarkStart w:id="439" w:name="_Toc153186192"/>
      <w:bookmarkStart w:id="440" w:name="_Toc151494042"/>
      <w:r>
        <w:rPr>
          <w:rFonts w:hint="eastAsia" w:hAnsi="黑体" w:cs="Arial"/>
          <w:color w:val="000000" w:themeColor="text1"/>
          <w14:textFill>
            <w14:solidFill>
              <w14:schemeClr w14:val="tx1"/>
            </w14:solidFill>
          </w14:textFill>
        </w:rPr>
        <w:t>碳金融管理</w:t>
      </w:r>
      <w:bookmarkEnd w:id="439"/>
      <w:bookmarkEnd w:id="440"/>
    </w:p>
    <w:p>
      <w:pPr>
        <w:pStyle w:val="64"/>
        <w:ind w:firstLine="420"/>
      </w:pPr>
      <w:r>
        <w:rPr>
          <w:rFonts w:hint="eastAsia"/>
        </w:rPr>
        <w:t>若组织开展碳金融活动宜：</w:t>
      </w:r>
    </w:p>
    <w:p>
      <w:pPr>
        <w:pStyle w:val="182"/>
        <w:numPr>
          <w:ilvl w:val="0"/>
          <w:numId w:val="57"/>
        </w:numPr>
      </w:pPr>
      <w:r>
        <w:rPr>
          <w:rFonts w:hint="eastAsia"/>
        </w:rPr>
        <w:t>基于组织自身碳排放管理战略，对组织自身拥有的各类碳资产进行低成本履约；</w:t>
      </w:r>
    </w:p>
    <w:p>
      <w:pPr>
        <w:pStyle w:val="182"/>
      </w:pPr>
      <w:r>
        <w:rPr>
          <w:rFonts w:hint="eastAsia"/>
        </w:rPr>
        <w:t>设立碳金融专员，负责碳金融管理或对接第三方碳金融服务机构开展保值或增值业务，如气候投融资对接、碳市场融资工具、碳市场支持工具、碳金融衍生品等；</w:t>
      </w:r>
    </w:p>
    <w:p>
      <w:pPr>
        <w:pStyle w:val="182"/>
      </w:pPr>
      <w:r>
        <w:rPr>
          <w:rFonts w:hint="eastAsia"/>
        </w:rPr>
        <w:t>基于组织自身碳排放合规风险，对本组织的对外投资开展环境影响信息披露和绿色投资评估业务。</w:t>
      </w:r>
    </w:p>
    <w:p>
      <w:pPr>
        <w:pStyle w:val="112"/>
        <w:numPr>
          <w:ilvl w:val="0"/>
          <w:numId w:val="33"/>
        </w:numPr>
        <w:spacing w:before="312" w:after="312"/>
        <w:ind w:left="0"/>
      </w:pPr>
      <w:bookmarkStart w:id="441" w:name="_Toc151494043"/>
      <w:bookmarkStart w:id="442" w:name="_Toc144924164"/>
      <w:bookmarkStart w:id="443" w:name="_Toc153186193"/>
      <w:r>
        <w:rPr>
          <w:rFonts w:hint="eastAsia"/>
        </w:rPr>
        <w:t>绩效评价</w:t>
      </w:r>
      <w:bookmarkEnd w:id="441"/>
      <w:bookmarkEnd w:id="442"/>
      <w:bookmarkEnd w:id="443"/>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444" w:name="_Toc2489"/>
      <w:bookmarkStart w:id="445" w:name="_Toc151494044"/>
      <w:bookmarkStart w:id="446" w:name="_Toc153186194"/>
      <w:bookmarkStart w:id="447" w:name="_Toc144924165"/>
      <w:bookmarkStart w:id="448" w:name="_Hlk151511927"/>
      <w:r>
        <w:rPr>
          <w:rFonts w:hint="eastAsia" w:hAnsi="黑体" w:cs="Arial"/>
          <w:color w:val="000000" w:themeColor="text1"/>
          <w14:textFill>
            <w14:solidFill>
              <w14:schemeClr w14:val="tx1"/>
            </w14:solidFill>
          </w14:textFill>
        </w:rPr>
        <w:t>监视、测量、分析和评价</w:t>
      </w:r>
      <w:bookmarkEnd w:id="444"/>
      <w:bookmarkEnd w:id="445"/>
      <w:bookmarkEnd w:id="446"/>
      <w:bookmarkEnd w:id="447"/>
    </w:p>
    <w:bookmarkEnd w:id="448"/>
    <w:p>
      <w:pPr>
        <w:pStyle w:val="297"/>
        <w:numPr>
          <w:ilvl w:val="2"/>
          <w:numId w:val="33"/>
        </w:numPr>
        <w:spacing w:before="156" w:beforeLines="50" w:after="156" w:afterLines="50"/>
        <w:rPr>
          <w:rFonts w:hint="eastAsia" w:hAnsi="黑体" w:cs="Arial"/>
          <w:color w:val="000000" w:themeColor="text1"/>
          <w14:textFill>
            <w14:solidFill>
              <w14:schemeClr w14:val="tx1"/>
            </w14:solidFill>
          </w14:textFill>
        </w:rPr>
      </w:pPr>
      <w:bookmarkStart w:id="449" w:name="_Toc144924166"/>
      <w:bookmarkStart w:id="450" w:name="_Toc153186195"/>
      <w:bookmarkStart w:id="451" w:name="_Toc151494045"/>
      <w:r>
        <w:rPr>
          <w:rFonts w:hint="eastAsia" w:hAnsi="黑体" w:cs="Arial"/>
          <w:color w:val="000000" w:themeColor="text1"/>
          <w14:textFill>
            <w14:solidFill>
              <w14:schemeClr w14:val="tx1"/>
            </w14:solidFill>
          </w14:textFill>
        </w:rPr>
        <w:t>总则</w:t>
      </w:r>
      <w:bookmarkEnd w:id="449"/>
      <w:bookmarkEnd w:id="450"/>
      <w:bookmarkEnd w:id="451"/>
    </w:p>
    <w:p>
      <w:pPr>
        <w:pStyle w:val="15"/>
        <w:spacing w:after="0" w:line="240" w:lineRule="auto"/>
        <w:ind w:firstLine="420"/>
      </w:pPr>
      <w:bookmarkStart w:id="452" w:name="_Toc151494046"/>
      <w:bookmarkStart w:id="453" w:name="_Toc144924167"/>
      <w:r>
        <w:rPr>
          <w:rFonts w:hint="eastAsia"/>
        </w:rPr>
        <w:t>组织应确定：</w:t>
      </w:r>
    </w:p>
    <w:p>
      <w:pPr>
        <w:pStyle w:val="140"/>
      </w:pPr>
      <w:r>
        <w:rPr>
          <w:rFonts w:hint="eastAsia"/>
        </w:rPr>
        <w:t>可以</w:t>
      </w:r>
      <w:r>
        <w:rPr>
          <w:rFonts w:hint="eastAsia" w:hAnsi="宋体"/>
        </w:rPr>
        <w:t>监测</w:t>
      </w:r>
      <w:r>
        <w:rPr>
          <w:rFonts w:hint="eastAsia" w:hAnsi="宋体"/>
          <w:kern w:val="2"/>
          <w:szCs w:val="21"/>
        </w:rPr>
        <w:t>和测量</w:t>
      </w:r>
      <w:r>
        <w:rPr>
          <w:rFonts w:hint="eastAsia"/>
        </w:rPr>
        <w:t>的内容；</w:t>
      </w:r>
    </w:p>
    <w:p>
      <w:pPr>
        <w:pStyle w:val="140"/>
      </w:pPr>
      <w:r>
        <w:rPr>
          <w:rFonts w:hint="eastAsia"/>
        </w:rPr>
        <w:t>适用的监测、测量、分析和评价的方法，以确保结果有效；</w:t>
      </w:r>
    </w:p>
    <w:p>
      <w:pPr>
        <w:pStyle w:val="140"/>
      </w:pPr>
      <w:r>
        <w:rPr>
          <w:rFonts w:hint="eastAsia"/>
        </w:rPr>
        <w:t>执行监测和测量的时间；</w:t>
      </w:r>
    </w:p>
    <w:p>
      <w:pPr>
        <w:pStyle w:val="140"/>
      </w:pPr>
      <w:r>
        <w:rPr>
          <w:rFonts w:hint="eastAsia"/>
        </w:rPr>
        <w:t>应对来自监测和测量的结果进行分析与评价的时间。</w:t>
      </w:r>
    </w:p>
    <w:p>
      <w:pPr>
        <w:pStyle w:val="15"/>
        <w:spacing w:after="0" w:line="240" w:lineRule="auto"/>
        <w:ind w:firstLine="420"/>
      </w:pPr>
      <w:r>
        <w:rPr>
          <w:rFonts w:hint="eastAsia"/>
        </w:rPr>
        <w:t>必要时，还应确定监测和测量特定过程所需的具体绩效指标。</w:t>
      </w:r>
    </w:p>
    <w:p>
      <w:pPr>
        <w:pStyle w:val="15"/>
        <w:spacing w:after="0" w:line="240" w:lineRule="auto"/>
        <w:ind w:firstLine="420"/>
      </w:pPr>
      <w:bookmarkStart w:id="454" w:name="_Hlk151511772"/>
      <w:r>
        <w:rPr>
          <w:rFonts w:hint="eastAsia"/>
        </w:rPr>
        <w:t>组织应对其碳排放绩效和碳排放管理体系的有效性进行评价。</w:t>
      </w:r>
    </w:p>
    <w:p>
      <w:pPr>
        <w:pStyle w:val="15"/>
        <w:spacing w:after="0" w:line="240" w:lineRule="auto"/>
        <w:ind w:firstLine="420"/>
      </w:pPr>
      <w:r>
        <w:rPr>
          <w:rFonts w:hint="eastAsia"/>
        </w:rPr>
        <w:t>组织应保留适当的有关监测、测量、分析和评价结果的文件化信息。</w:t>
      </w:r>
    </w:p>
    <w:bookmarkEnd w:id="454"/>
    <w:p>
      <w:pPr>
        <w:pStyle w:val="297"/>
        <w:numPr>
          <w:ilvl w:val="2"/>
          <w:numId w:val="33"/>
        </w:numPr>
        <w:spacing w:before="156" w:beforeLines="50" w:after="156" w:afterLines="50"/>
        <w:rPr>
          <w:rFonts w:hint="eastAsia" w:hAnsi="黑体" w:cs="Arial"/>
          <w:color w:val="000000" w:themeColor="text1"/>
          <w14:textFill>
            <w14:solidFill>
              <w14:schemeClr w14:val="tx1"/>
            </w14:solidFill>
          </w14:textFill>
        </w:rPr>
      </w:pPr>
      <w:bookmarkStart w:id="455" w:name="_Toc153186196"/>
      <w:r>
        <w:rPr>
          <w:rFonts w:hint="eastAsia" w:hAnsi="黑体" w:cs="Arial"/>
          <w:color w:val="000000" w:themeColor="text1"/>
          <w14:textFill>
            <w14:solidFill>
              <w14:schemeClr w14:val="tx1"/>
            </w14:solidFill>
          </w14:textFill>
        </w:rPr>
        <w:t>监测与分析</w:t>
      </w:r>
      <w:bookmarkEnd w:id="452"/>
      <w:bookmarkEnd w:id="453"/>
      <w:bookmarkEnd w:id="455"/>
    </w:p>
    <w:p>
      <w:pPr>
        <w:pStyle w:val="15"/>
        <w:spacing w:after="0" w:line="240" w:lineRule="auto"/>
        <w:ind w:firstLine="420"/>
      </w:pPr>
      <w:r>
        <w:rPr>
          <w:rFonts w:hint="eastAsia"/>
        </w:rPr>
        <w:t>组织在生产运行过程中，应对碳排放相关的关键参数进行监测和分析，并根据分析结果，进行有效控制。组织应对上述监测结果形成记录，确保：</w:t>
      </w:r>
    </w:p>
    <w:p>
      <w:pPr>
        <w:pStyle w:val="182"/>
        <w:numPr>
          <w:ilvl w:val="0"/>
          <w:numId w:val="58"/>
        </w:numPr>
      </w:pPr>
      <w:r>
        <w:rPr>
          <w:rFonts w:hint="eastAsia"/>
        </w:rPr>
        <w:t>组织应制定监测计划，监测计划应包括以下内容：</w:t>
      </w:r>
    </w:p>
    <w:p>
      <w:pPr>
        <w:pStyle w:val="182"/>
        <w:numPr>
          <w:ilvl w:val="0"/>
          <w:numId w:val="0"/>
        </w:numPr>
        <w:ind w:left="851"/>
      </w:pPr>
      <w:r>
        <w:rPr>
          <w:rFonts w:hint="eastAsia"/>
        </w:rPr>
        <w:t>——监测的内容；</w:t>
      </w:r>
    </w:p>
    <w:p>
      <w:pPr>
        <w:pStyle w:val="182"/>
        <w:numPr>
          <w:ilvl w:val="0"/>
          <w:numId w:val="0"/>
        </w:numPr>
        <w:ind w:left="851"/>
      </w:pPr>
      <w:r>
        <w:rPr>
          <w:rFonts w:hint="eastAsia"/>
        </w:rPr>
        <w:t>——监测的责任部门；</w:t>
      </w:r>
    </w:p>
    <w:p>
      <w:pPr>
        <w:pStyle w:val="182"/>
        <w:numPr>
          <w:ilvl w:val="0"/>
          <w:numId w:val="0"/>
        </w:numPr>
        <w:ind w:left="851"/>
      </w:pPr>
      <w:r>
        <w:rPr>
          <w:rFonts w:hint="eastAsia"/>
        </w:rPr>
        <w:t>——监测的形式；</w:t>
      </w:r>
    </w:p>
    <w:p>
      <w:pPr>
        <w:pStyle w:val="182"/>
        <w:numPr>
          <w:ilvl w:val="0"/>
          <w:numId w:val="0"/>
        </w:numPr>
        <w:ind w:left="851"/>
      </w:pPr>
      <w:r>
        <w:rPr>
          <w:rFonts w:hint="eastAsia"/>
        </w:rPr>
        <w:t>——监测的频率；</w:t>
      </w:r>
    </w:p>
    <w:p>
      <w:pPr>
        <w:pStyle w:val="182"/>
        <w:numPr>
          <w:ilvl w:val="0"/>
          <w:numId w:val="0"/>
        </w:numPr>
        <w:ind w:left="851"/>
      </w:pPr>
      <w:r>
        <w:rPr>
          <w:rFonts w:hint="eastAsia"/>
        </w:rPr>
        <w:t>——监测结果的记录形式等。</w:t>
      </w:r>
    </w:p>
    <w:p>
      <w:pPr>
        <w:pStyle w:val="182"/>
      </w:pPr>
      <w:r>
        <w:rPr>
          <w:rFonts w:hint="eastAsia"/>
        </w:rPr>
        <w:t>组织监测的主要内容包括但不限于：</w:t>
      </w:r>
    </w:p>
    <w:p>
      <w:pPr>
        <w:pStyle w:val="182"/>
        <w:numPr>
          <w:ilvl w:val="0"/>
          <w:numId w:val="0"/>
        </w:numPr>
        <w:ind w:left="851"/>
      </w:pPr>
      <w:r>
        <w:rPr>
          <w:rFonts w:hint="eastAsia"/>
        </w:rPr>
        <w:t>——碳排放管理目标的实现程度；</w:t>
      </w:r>
    </w:p>
    <w:p>
      <w:pPr>
        <w:pStyle w:val="182"/>
        <w:numPr>
          <w:ilvl w:val="0"/>
          <w:numId w:val="0"/>
        </w:numPr>
        <w:ind w:left="851"/>
      </w:pPr>
      <w:r>
        <w:rPr>
          <w:rFonts w:hint="eastAsia"/>
        </w:rPr>
        <w:t>——碳排放活动水平及排放因子；</w:t>
      </w:r>
    </w:p>
    <w:p>
      <w:pPr>
        <w:pStyle w:val="182"/>
        <w:numPr>
          <w:ilvl w:val="0"/>
          <w:numId w:val="0"/>
        </w:numPr>
        <w:ind w:left="851"/>
      </w:pPr>
      <w:r>
        <w:rPr>
          <w:rFonts w:hint="eastAsia"/>
        </w:rPr>
        <w:t>——碳排放绩效参数；</w:t>
      </w:r>
    </w:p>
    <w:p>
      <w:pPr>
        <w:pStyle w:val="182"/>
        <w:numPr>
          <w:ilvl w:val="0"/>
          <w:numId w:val="0"/>
        </w:numPr>
        <w:ind w:left="851"/>
      </w:pPr>
      <w:r>
        <w:rPr>
          <w:rFonts w:hint="eastAsia"/>
        </w:rPr>
        <w:t>——碳排放强度及总量；</w:t>
      </w:r>
    </w:p>
    <w:p>
      <w:pPr>
        <w:pStyle w:val="182"/>
        <w:numPr>
          <w:ilvl w:val="0"/>
          <w:numId w:val="0"/>
        </w:numPr>
        <w:ind w:left="851"/>
      </w:pPr>
      <w:r>
        <w:rPr>
          <w:rFonts w:hint="eastAsia"/>
        </w:rPr>
        <w:t>——新增设施的排放量情况；</w:t>
      </w:r>
    </w:p>
    <w:p>
      <w:pPr>
        <w:pStyle w:val="182"/>
        <w:numPr>
          <w:ilvl w:val="0"/>
          <w:numId w:val="0"/>
        </w:numPr>
        <w:ind w:left="851"/>
      </w:pPr>
      <w:r>
        <w:rPr>
          <w:rFonts w:hint="eastAsia"/>
        </w:rPr>
        <w:t>——其他生产数据，如产品产量、建筑面积、产值等。</w:t>
      </w:r>
    </w:p>
    <w:p>
      <w:pPr>
        <w:pStyle w:val="182"/>
      </w:pPr>
      <w:r>
        <w:rPr>
          <w:rFonts w:hint="eastAsia"/>
        </w:rPr>
        <w:t>组织应对监测结果进行分析，包括异常波动分析、与先进值对比分析等；</w:t>
      </w:r>
    </w:p>
    <w:p>
      <w:pPr>
        <w:pStyle w:val="182"/>
      </w:pPr>
      <w:r>
        <w:rPr>
          <w:rFonts w:hint="eastAsia"/>
        </w:rPr>
        <w:t>当分析过程中发现碳排放状况出现重大偏差时，应及时分析原因并采取应对措施；</w:t>
      </w:r>
    </w:p>
    <w:p>
      <w:pPr>
        <w:pStyle w:val="182"/>
      </w:pPr>
      <w:r>
        <w:rPr>
          <w:rFonts w:hint="eastAsia"/>
        </w:rPr>
        <w:t>组织应定期对管辖范围内的监测设备进行检定或校准，确保监测结果的准确性和可重复性；</w:t>
      </w:r>
    </w:p>
    <w:p>
      <w:pPr>
        <w:pStyle w:val="182"/>
      </w:pPr>
      <w:r>
        <w:rPr>
          <w:rFonts w:hint="eastAsia"/>
        </w:rPr>
        <w:t>必要时，建立碳排放信息监控系统，实现碳排放管理数据的在线采集和实时监控。</w:t>
      </w:r>
    </w:p>
    <w:p>
      <w:pPr>
        <w:pStyle w:val="297"/>
        <w:numPr>
          <w:ilvl w:val="2"/>
          <w:numId w:val="33"/>
        </w:numPr>
        <w:spacing w:before="156" w:beforeLines="50" w:after="156" w:afterLines="50"/>
        <w:rPr>
          <w:rFonts w:hint="eastAsia" w:hAnsi="黑体" w:cs="Arial"/>
          <w:color w:val="000000" w:themeColor="text1"/>
          <w14:textFill>
            <w14:solidFill>
              <w14:schemeClr w14:val="tx1"/>
            </w14:solidFill>
          </w14:textFill>
        </w:rPr>
      </w:pPr>
      <w:bookmarkStart w:id="456" w:name="_Toc151494047"/>
      <w:bookmarkStart w:id="457" w:name="_Toc153186197"/>
      <w:bookmarkStart w:id="458" w:name="_Toc144924168"/>
      <w:r>
        <w:rPr>
          <w:rFonts w:hint="eastAsia" w:hAnsi="黑体" w:cs="Arial"/>
          <w:color w:val="000000" w:themeColor="text1"/>
          <w14:textFill>
            <w14:solidFill>
              <w14:schemeClr w14:val="tx1"/>
            </w14:solidFill>
          </w14:textFill>
        </w:rPr>
        <w:t>合规性评价</w:t>
      </w:r>
      <w:bookmarkEnd w:id="456"/>
      <w:bookmarkEnd w:id="457"/>
      <w:bookmarkEnd w:id="458"/>
    </w:p>
    <w:p>
      <w:pPr>
        <w:pStyle w:val="15"/>
        <w:spacing w:after="0" w:line="240" w:lineRule="auto"/>
        <w:ind w:firstLine="420"/>
      </w:pPr>
      <w:r>
        <w:rPr>
          <w:rFonts w:hint="eastAsia"/>
        </w:rPr>
        <w:t>组织应</w:t>
      </w:r>
      <w:r>
        <w:t>建立、实施、保持和持续改进</w:t>
      </w:r>
      <w:r>
        <w:rPr>
          <w:rFonts w:hint="eastAsia"/>
        </w:rPr>
        <w:t>评价其合规义务履行状况所需的过程，包括但不限于：</w:t>
      </w:r>
    </w:p>
    <w:p>
      <w:pPr>
        <w:pStyle w:val="182"/>
        <w:numPr>
          <w:ilvl w:val="0"/>
          <w:numId w:val="59"/>
        </w:numPr>
      </w:pPr>
      <w:r>
        <w:rPr>
          <w:rFonts w:hint="eastAsia"/>
        </w:rPr>
        <w:t>确定实施合规性评价的频次；</w:t>
      </w:r>
    </w:p>
    <w:p>
      <w:pPr>
        <w:pStyle w:val="182"/>
      </w:pPr>
      <w:r>
        <w:rPr>
          <w:rFonts w:hint="eastAsia"/>
        </w:rPr>
        <w:t>评价合规性，必要时采取措施；</w:t>
      </w:r>
    </w:p>
    <w:p>
      <w:pPr>
        <w:pStyle w:val="182"/>
      </w:pPr>
      <w:r>
        <w:rPr>
          <w:rFonts w:hint="eastAsia"/>
        </w:rPr>
        <w:t>掌握合规相关知识和对其合规实际情况的了解；</w:t>
      </w:r>
    </w:p>
    <w:p>
      <w:pPr>
        <w:pStyle w:val="182"/>
      </w:pPr>
      <w:r>
        <w:rPr>
          <w:rFonts w:hint="eastAsia"/>
        </w:rPr>
        <w:t>明确组织内部及相关方的合规要求。</w:t>
      </w:r>
    </w:p>
    <w:p>
      <w:pPr>
        <w:pStyle w:val="15"/>
        <w:spacing w:after="0" w:line="240" w:lineRule="auto"/>
        <w:ind w:firstLine="420"/>
      </w:pPr>
      <w:r>
        <w:rPr>
          <w:rFonts w:hint="eastAsia"/>
        </w:rPr>
        <w:t>组织应保留合规性评价的结果和所采取任何措施的文件化信息。</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459" w:name="_Toc144924169"/>
      <w:bookmarkStart w:id="460" w:name="_Toc151494048"/>
      <w:bookmarkStart w:id="461" w:name="_Toc153186198"/>
      <w:r>
        <w:rPr>
          <w:rFonts w:hint="eastAsia" w:hAnsi="黑体" w:cs="Arial"/>
          <w:color w:val="000000" w:themeColor="text1"/>
          <w14:textFill>
            <w14:solidFill>
              <w14:schemeClr w14:val="tx1"/>
            </w14:solidFill>
          </w14:textFill>
        </w:rPr>
        <w:t>内部审核</w:t>
      </w:r>
      <w:bookmarkEnd w:id="459"/>
      <w:bookmarkEnd w:id="460"/>
      <w:bookmarkEnd w:id="461"/>
    </w:p>
    <w:p>
      <w:pPr>
        <w:pStyle w:val="297"/>
        <w:numPr>
          <w:ilvl w:val="2"/>
          <w:numId w:val="33"/>
        </w:numPr>
        <w:spacing w:before="156" w:beforeLines="50" w:after="156" w:afterLines="50"/>
        <w:rPr>
          <w:rFonts w:hint="eastAsia" w:hAnsi="黑体" w:cs="Arial"/>
          <w:color w:val="000000" w:themeColor="text1"/>
          <w14:textFill>
            <w14:solidFill>
              <w14:schemeClr w14:val="tx1"/>
            </w14:solidFill>
          </w14:textFill>
        </w:rPr>
      </w:pPr>
      <w:bookmarkStart w:id="462" w:name="_Toc144924170"/>
      <w:bookmarkStart w:id="463" w:name="_Toc153186199"/>
      <w:bookmarkStart w:id="464" w:name="_Toc151494049"/>
      <w:r>
        <w:rPr>
          <w:rFonts w:hint="eastAsia" w:hAnsi="黑体" w:cs="Arial"/>
          <w:color w:val="000000" w:themeColor="text1"/>
          <w14:textFill>
            <w14:solidFill>
              <w14:schemeClr w14:val="tx1"/>
            </w14:solidFill>
          </w14:textFill>
        </w:rPr>
        <w:t>总则</w:t>
      </w:r>
      <w:bookmarkEnd w:id="462"/>
      <w:bookmarkEnd w:id="463"/>
      <w:bookmarkEnd w:id="464"/>
    </w:p>
    <w:p>
      <w:pPr>
        <w:pStyle w:val="15"/>
        <w:spacing w:after="0" w:line="240" w:lineRule="auto"/>
        <w:ind w:firstLine="420"/>
      </w:pPr>
      <w:r>
        <w:rPr>
          <w:rFonts w:hint="eastAsia"/>
        </w:rPr>
        <w:t>组织应按策划的时间间隔进行内部审核，以提供关于碳排放管理体系的信息是否：</w:t>
      </w:r>
    </w:p>
    <w:p>
      <w:pPr>
        <w:pStyle w:val="182"/>
        <w:numPr>
          <w:ilvl w:val="0"/>
          <w:numId w:val="60"/>
        </w:numPr>
      </w:pPr>
      <w:r>
        <w:rPr>
          <w:rFonts w:hint="eastAsia"/>
        </w:rPr>
        <w:t>符合：</w:t>
      </w:r>
    </w:p>
    <w:p>
      <w:pPr>
        <w:pStyle w:val="182"/>
        <w:numPr>
          <w:ilvl w:val="0"/>
          <w:numId w:val="0"/>
        </w:numPr>
        <w:ind w:left="851"/>
      </w:pPr>
      <w:r>
        <w:rPr>
          <w:rFonts w:hint="eastAsia"/>
        </w:rPr>
        <w:t>——组织自身对其碳排放管理体系的要求；</w:t>
      </w:r>
    </w:p>
    <w:p>
      <w:pPr>
        <w:pStyle w:val="182"/>
        <w:numPr>
          <w:ilvl w:val="0"/>
          <w:numId w:val="0"/>
        </w:numPr>
        <w:ind w:left="851"/>
      </w:pPr>
      <w:r>
        <w:rPr>
          <w:rFonts w:hint="eastAsia"/>
        </w:rPr>
        <w:t>——本文件的要求。</w:t>
      </w:r>
    </w:p>
    <w:p>
      <w:pPr>
        <w:pStyle w:val="182"/>
      </w:pPr>
      <w:r>
        <w:rPr>
          <w:rFonts w:hint="eastAsia"/>
        </w:rPr>
        <w:t>继续实施与保持有效。</w:t>
      </w:r>
    </w:p>
    <w:p>
      <w:pPr>
        <w:pStyle w:val="297"/>
        <w:numPr>
          <w:ilvl w:val="2"/>
          <w:numId w:val="33"/>
        </w:numPr>
        <w:spacing w:before="156" w:beforeLines="50" w:after="156" w:afterLines="50"/>
        <w:rPr>
          <w:rFonts w:hint="eastAsia" w:hAnsi="黑体" w:cs="Arial"/>
          <w:color w:val="000000" w:themeColor="text1"/>
          <w14:textFill>
            <w14:solidFill>
              <w14:schemeClr w14:val="tx1"/>
            </w14:solidFill>
          </w14:textFill>
        </w:rPr>
      </w:pPr>
      <w:bookmarkStart w:id="465" w:name="_Toc151494050"/>
      <w:bookmarkStart w:id="466" w:name="_Toc153186200"/>
      <w:bookmarkStart w:id="467" w:name="_Toc144924171"/>
      <w:r>
        <w:rPr>
          <w:rFonts w:hint="eastAsia" w:hAnsi="黑体" w:cs="Arial"/>
          <w:color w:val="000000" w:themeColor="text1"/>
          <w14:textFill>
            <w14:solidFill>
              <w14:schemeClr w14:val="tx1"/>
            </w14:solidFill>
          </w14:textFill>
        </w:rPr>
        <w:t>内部审核方案</w:t>
      </w:r>
      <w:bookmarkEnd w:id="465"/>
      <w:bookmarkEnd w:id="466"/>
      <w:bookmarkEnd w:id="467"/>
    </w:p>
    <w:p>
      <w:pPr>
        <w:pStyle w:val="15"/>
        <w:spacing w:after="0" w:line="240" w:lineRule="auto"/>
        <w:ind w:firstLine="420"/>
      </w:pPr>
      <w:r>
        <w:rPr>
          <w:rFonts w:hint="eastAsia"/>
        </w:rPr>
        <w:t>组织应策划、建立、执行、保持并持续改进一项审核方案，包括频次、方法、职责、策划要求及报告。在建立内部审核方案时，组织应考虑相关过程的重要性和以往审核的结果，包括但不限于：</w:t>
      </w:r>
    </w:p>
    <w:p>
      <w:pPr>
        <w:pStyle w:val="182"/>
        <w:numPr>
          <w:ilvl w:val="0"/>
          <w:numId w:val="61"/>
        </w:numPr>
      </w:pPr>
      <w:r>
        <w:rPr>
          <w:rFonts w:hint="eastAsia"/>
        </w:rPr>
        <w:t>明确每次审核的审核目的、准则和范围；</w:t>
      </w:r>
    </w:p>
    <w:p>
      <w:pPr>
        <w:pStyle w:val="182"/>
      </w:pPr>
      <w:r>
        <w:rPr>
          <w:rFonts w:hint="eastAsia"/>
        </w:rPr>
        <w:t>选择审核员并进行审核，以确保审核过程的客观性与公正性；</w:t>
      </w:r>
    </w:p>
    <w:p>
      <w:pPr>
        <w:pStyle w:val="182"/>
      </w:pPr>
      <w:r>
        <w:rPr>
          <w:rFonts w:hint="eastAsia"/>
        </w:rPr>
        <w:t>确保审核的结果是向相关管理者报告的。</w:t>
      </w:r>
    </w:p>
    <w:p>
      <w:pPr>
        <w:pStyle w:val="15"/>
        <w:spacing w:after="0" w:line="240" w:lineRule="auto"/>
        <w:ind w:firstLine="420"/>
      </w:pPr>
      <w:r>
        <w:rPr>
          <w:rFonts w:hint="eastAsia"/>
        </w:rPr>
        <w:t>当内部审核结果不符合时，组织应针对不符合的地方持续改进，重新召开内部审核并附上相关纠错措施。</w:t>
      </w:r>
    </w:p>
    <w:p>
      <w:pPr>
        <w:pStyle w:val="15"/>
        <w:spacing w:after="0" w:line="240" w:lineRule="auto"/>
        <w:ind w:firstLine="420"/>
      </w:pPr>
      <w:r>
        <w:rPr>
          <w:rFonts w:hint="eastAsia"/>
        </w:rPr>
        <w:t>作为审核方案的实施和审核的结果证据的文件化信息应可供使用。</w:t>
      </w:r>
    </w:p>
    <w:p>
      <w:pPr>
        <w:pStyle w:val="187"/>
        <w:numPr>
          <w:ilvl w:val="0"/>
          <w:numId w:val="0"/>
        </w:numPr>
        <w:ind w:left="420" w:hanging="374"/>
      </w:pPr>
      <w:r>
        <w:rPr>
          <w:rFonts w:ascii="黑体" w:eastAsia="黑体"/>
        </w:rPr>
        <w:t>注：</w:t>
      </w:r>
      <w:r>
        <w:rPr>
          <w:rFonts w:hint="eastAsia"/>
        </w:rPr>
        <w:t>针对审核管理体系的内容建议参考国际、国家或地方相关标准。</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468" w:name="_Toc144924172"/>
      <w:bookmarkStart w:id="469" w:name="_Toc151494051"/>
      <w:bookmarkStart w:id="470" w:name="_Toc153186201"/>
      <w:r>
        <w:rPr>
          <w:rFonts w:hint="eastAsia" w:hAnsi="黑体" w:cs="Arial"/>
          <w:color w:val="000000" w:themeColor="text1"/>
          <w14:textFill>
            <w14:solidFill>
              <w14:schemeClr w14:val="tx1"/>
            </w14:solidFill>
          </w14:textFill>
        </w:rPr>
        <w:t>管理评审</w:t>
      </w:r>
      <w:bookmarkEnd w:id="468"/>
      <w:bookmarkEnd w:id="469"/>
      <w:bookmarkEnd w:id="470"/>
    </w:p>
    <w:p>
      <w:pPr>
        <w:pStyle w:val="297"/>
        <w:numPr>
          <w:ilvl w:val="2"/>
          <w:numId w:val="33"/>
        </w:numPr>
        <w:spacing w:before="156" w:beforeLines="50" w:after="156" w:afterLines="50"/>
        <w:rPr>
          <w:rFonts w:hint="eastAsia" w:hAnsi="黑体" w:cs="Arial"/>
          <w:color w:val="000000" w:themeColor="text1"/>
          <w14:textFill>
            <w14:solidFill>
              <w14:schemeClr w14:val="tx1"/>
            </w14:solidFill>
          </w14:textFill>
        </w:rPr>
      </w:pPr>
      <w:bookmarkStart w:id="471" w:name="_Toc144924173"/>
      <w:bookmarkStart w:id="472" w:name="_Toc151494052"/>
      <w:bookmarkStart w:id="473" w:name="_Toc153186202"/>
      <w:r>
        <w:rPr>
          <w:rFonts w:hint="eastAsia" w:hAnsi="黑体" w:cs="Arial"/>
          <w:color w:val="000000" w:themeColor="text1"/>
          <w14:textFill>
            <w14:solidFill>
              <w14:schemeClr w14:val="tx1"/>
            </w14:solidFill>
          </w14:textFill>
        </w:rPr>
        <w:t>总则</w:t>
      </w:r>
      <w:bookmarkEnd w:id="471"/>
      <w:bookmarkEnd w:id="472"/>
      <w:bookmarkEnd w:id="473"/>
    </w:p>
    <w:p>
      <w:pPr>
        <w:pStyle w:val="279"/>
        <w:ind w:left="0" w:leftChars="0" w:firstLine="420" w:firstLineChars="200"/>
        <w:rPr>
          <w:rFonts w:ascii="Calibri" w:hAnsi="Calibri"/>
          <w:bCs w:val="0"/>
          <w:kern w:val="2"/>
          <w:sz w:val="21"/>
          <w:szCs w:val="21"/>
        </w:rPr>
      </w:pPr>
      <w:r>
        <w:rPr>
          <w:rFonts w:hint="eastAsia" w:ascii="Calibri" w:hAnsi="Calibri"/>
          <w:bCs w:val="0"/>
          <w:kern w:val="2"/>
          <w:sz w:val="21"/>
          <w:szCs w:val="21"/>
        </w:rPr>
        <w:t>最高管理者应按策划的时间间隔评审组织的碳排放管理体系，以确保它持续的适宜性、充分性和有效性。</w:t>
      </w:r>
    </w:p>
    <w:p>
      <w:pPr>
        <w:pStyle w:val="187"/>
        <w:numPr>
          <w:ilvl w:val="0"/>
          <w:numId w:val="0"/>
        </w:numPr>
        <w:ind w:left="420" w:hanging="374"/>
      </w:pPr>
      <w:r>
        <w:rPr>
          <w:rFonts w:ascii="黑体" w:eastAsia="黑体"/>
        </w:rPr>
        <w:t>注：</w:t>
      </w:r>
      <w:r>
        <w:rPr>
          <w:rFonts w:hint="eastAsia"/>
        </w:rPr>
        <w:tab/>
      </w:r>
      <w:r>
        <w:rPr>
          <w:rFonts w:hint="eastAsia"/>
        </w:rPr>
        <w:t>管理评审所涉及“适宜性”指碳排放管理体系如何适合于组织、其运行、文化及业务系统；“充分性”指组织的碳排放管理体系符合本文件要求，且得到恰当地实施；“有效性”指该组织的碳排放管理体系正在实现期望的结果。</w:t>
      </w:r>
    </w:p>
    <w:p>
      <w:pPr>
        <w:pStyle w:val="297"/>
        <w:numPr>
          <w:ilvl w:val="2"/>
          <w:numId w:val="33"/>
        </w:numPr>
        <w:spacing w:before="156" w:beforeLines="50" w:after="156" w:afterLines="50"/>
        <w:rPr>
          <w:rFonts w:hint="eastAsia" w:hAnsi="黑体" w:cs="Arial"/>
          <w:color w:val="000000" w:themeColor="text1"/>
          <w14:textFill>
            <w14:solidFill>
              <w14:schemeClr w14:val="tx1"/>
            </w14:solidFill>
          </w14:textFill>
        </w:rPr>
      </w:pPr>
      <w:bookmarkStart w:id="474" w:name="_Toc153186203"/>
      <w:bookmarkStart w:id="475" w:name="_Toc144924174"/>
      <w:bookmarkStart w:id="476" w:name="_Toc151494053"/>
      <w:r>
        <w:rPr>
          <w:rFonts w:hint="eastAsia" w:hAnsi="黑体" w:cs="Arial"/>
          <w:color w:val="000000" w:themeColor="text1"/>
          <w14:textFill>
            <w14:solidFill>
              <w14:schemeClr w14:val="tx1"/>
            </w14:solidFill>
          </w14:textFill>
        </w:rPr>
        <w:t>管理评审输入</w:t>
      </w:r>
      <w:bookmarkEnd w:id="474"/>
      <w:bookmarkEnd w:id="475"/>
      <w:bookmarkEnd w:id="476"/>
    </w:p>
    <w:p>
      <w:pPr>
        <w:pStyle w:val="15"/>
        <w:spacing w:after="0" w:line="240" w:lineRule="auto"/>
        <w:ind w:firstLine="420"/>
      </w:pPr>
      <w:r>
        <w:rPr>
          <w:rFonts w:hint="eastAsia"/>
        </w:rPr>
        <w:t>管理评审输入应包括但不限于：</w:t>
      </w:r>
    </w:p>
    <w:p>
      <w:pPr>
        <w:pStyle w:val="182"/>
        <w:numPr>
          <w:ilvl w:val="0"/>
          <w:numId w:val="62"/>
        </w:numPr>
      </w:pPr>
      <w:r>
        <w:rPr>
          <w:rFonts w:hint="eastAsia"/>
        </w:rPr>
        <w:t>来自之前的管理评审措施的状况；</w:t>
      </w:r>
    </w:p>
    <w:p>
      <w:pPr>
        <w:pStyle w:val="182"/>
      </w:pPr>
      <w:r>
        <w:rPr>
          <w:rFonts w:hint="eastAsia"/>
        </w:rPr>
        <w:t>与碳排放管理体系有关的外部和内部问题的变化；</w:t>
      </w:r>
    </w:p>
    <w:p>
      <w:pPr>
        <w:pStyle w:val="182"/>
      </w:pPr>
      <w:r>
        <w:rPr>
          <w:rFonts w:hint="eastAsia"/>
        </w:rPr>
        <w:t>与碳排放管理体系有关的相关方的需求和期望的变化；</w:t>
      </w:r>
    </w:p>
    <w:p>
      <w:pPr>
        <w:pStyle w:val="182"/>
      </w:pPr>
      <w:r>
        <w:rPr>
          <w:rFonts w:hint="eastAsia"/>
        </w:rPr>
        <w:t>关于碳排放绩效的信息包括以下方面：</w:t>
      </w:r>
    </w:p>
    <w:p>
      <w:pPr>
        <w:pStyle w:val="182"/>
        <w:numPr>
          <w:ilvl w:val="0"/>
          <w:numId w:val="0"/>
        </w:numPr>
        <w:ind w:left="851"/>
      </w:pPr>
      <w:r>
        <w:rPr>
          <w:rFonts w:hint="eastAsia"/>
        </w:rPr>
        <w:t>——不符合及纠正措施；</w:t>
      </w:r>
    </w:p>
    <w:p>
      <w:pPr>
        <w:pStyle w:val="182"/>
        <w:numPr>
          <w:ilvl w:val="0"/>
          <w:numId w:val="0"/>
        </w:numPr>
        <w:ind w:left="851"/>
      </w:pPr>
      <w:r>
        <w:rPr>
          <w:rFonts w:hint="eastAsia"/>
        </w:rPr>
        <w:t>——监测和测量结果；</w:t>
      </w:r>
    </w:p>
    <w:p>
      <w:pPr>
        <w:pStyle w:val="182"/>
        <w:numPr>
          <w:ilvl w:val="0"/>
          <w:numId w:val="0"/>
        </w:numPr>
        <w:ind w:left="851"/>
      </w:pPr>
      <w:r>
        <w:rPr>
          <w:rFonts w:hint="eastAsia"/>
        </w:rPr>
        <w:t>——审核的结果；</w:t>
      </w:r>
    </w:p>
    <w:p>
      <w:pPr>
        <w:pStyle w:val="182"/>
        <w:numPr>
          <w:ilvl w:val="0"/>
          <w:numId w:val="0"/>
        </w:numPr>
        <w:ind w:left="851"/>
      </w:pPr>
      <w:r>
        <w:rPr>
          <w:rFonts w:hint="eastAsia"/>
        </w:rPr>
        <w:t>——合规性评价的结果。</w:t>
      </w:r>
    </w:p>
    <w:p>
      <w:pPr>
        <w:pStyle w:val="182"/>
      </w:pPr>
      <w:r>
        <w:rPr>
          <w:rFonts w:hint="eastAsia"/>
        </w:rPr>
        <w:t>碳排放管理体系变更需求；</w:t>
      </w:r>
    </w:p>
    <w:p>
      <w:pPr>
        <w:pStyle w:val="182"/>
      </w:pPr>
      <w:r>
        <w:rPr>
          <w:rFonts w:hint="eastAsia"/>
        </w:rPr>
        <w:t>持续改进的机会。</w:t>
      </w:r>
    </w:p>
    <w:p>
      <w:pPr>
        <w:pStyle w:val="297"/>
        <w:numPr>
          <w:ilvl w:val="2"/>
          <w:numId w:val="33"/>
        </w:numPr>
        <w:spacing w:before="156" w:beforeLines="50" w:after="156" w:afterLines="50"/>
        <w:rPr>
          <w:rFonts w:hint="eastAsia" w:hAnsi="黑体" w:cs="Arial"/>
          <w:color w:val="000000" w:themeColor="text1"/>
          <w14:textFill>
            <w14:solidFill>
              <w14:schemeClr w14:val="tx1"/>
            </w14:solidFill>
          </w14:textFill>
        </w:rPr>
      </w:pPr>
      <w:bookmarkStart w:id="477" w:name="_Toc144924175"/>
      <w:bookmarkStart w:id="478" w:name="_Toc151494054"/>
      <w:bookmarkStart w:id="479" w:name="_Toc153186204"/>
      <w:r>
        <w:rPr>
          <w:rFonts w:hint="eastAsia" w:hAnsi="黑体" w:cs="Arial"/>
          <w:color w:val="000000" w:themeColor="text1"/>
          <w14:textFill>
            <w14:solidFill>
              <w14:schemeClr w14:val="tx1"/>
            </w14:solidFill>
          </w14:textFill>
        </w:rPr>
        <w:t>管理评审输出</w:t>
      </w:r>
      <w:bookmarkEnd w:id="477"/>
      <w:bookmarkEnd w:id="478"/>
      <w:bookmarkEnd w:id="479"/>
    </w:p>
    <w:p>
      <w:pPr>
        <w:pStyle w:val="15"/>
        <w:spacing w:after="0" w:line="240" w:lineRule="auto"/>
        <w:ind w:firstLine="420"/>
      </w:pPr>
      <w:r>
        <w:rPr>
          <w:rFonts w:hint="eastAsia"/>
        </w:rPr>
        <w:t>管理评审输出应包括但不限于：</w:t>
      </w:r>
    </w:p>
    <w:p>
      <w:pPr>
        <w:pStyle w:val="182"/>
        <w:numPr>
          <w:ilvl w:val="0"/>
          <w:numId w:val="63"/>
        </w:numPr>
      </w:pPr>
      <w:r>
        <w:rPr>
          <w:rFonts w:hint="eastAsia"/>
        </w:rPr>
        <w:t>对组织碳排放管理体系适宜性、充分性和有效性的总体评价；</w:t>
      </w:r>
    </w:p>
    <w:p>
      <w:pPr>
        <w:pStyle w:val="182"/>
      </w:pPr>
      <w:r>
        <w:rPr>
          <w:rFonts w:hint="eastAsia"/>
        </w:rPr>
        <w:t>碳排放管理方针的变化；</w:t>
      </w:r>
    </w:p>
    <w:p>
      <w:pPr>
        <w:pStyle w:val="182"/>
      </w:pPr>
      <w:r>
        <w:rPr>
          <w:rFonts w:hint="eastAsia"/>
        </w:rPr>
        <w:t>碳排放管理体系的目标、指标和其他要素的调整；</w:t>
      </w:r>
    </w:p>
    <w:p>
      <w:pPr>
        <w:pStyle w:val="182"/>
      </w:pPr>
      <w:r>
        <w:rPr>
          <w:rFonts w:hint="eastAsia"/>
        </w:rPr>
        <w:t>与持续改进机会有关的决策；</w:t>
      </w:r>
    </w:p>
    <w:p>
      <w:pPr>
        <w:pStyle w:val="182"/>
      </w:pPr>
      <w:r>
        <w:rPr>
          <w:rFonts w:hint="eastAsia"/>
        </w:rPr>
        <w:t>与碳排放管理体系变更的任何需求相关的决策。</w:t>
      </w:r>
    </w:p>
    <w:p>
      <w:pPr>
        <w:pStyle w:val="182"/>
        <w:numPr>
          <w:ilvl w:val="0"/>
          <w:numId w:val="0"/>
        </w:numPr>
        <w:ind w:left="425"/>
      </w:pPr>
      <w:r>
        <w:rPr>
          <w:rFonts w:hint="eastAsia"/>
        </w:rPr>
        <w:t>组织应保留文件化信息，作为管理评审结果的证据。</w:t>
      </w:r>
    </w:p>
    <w:p>
      <w:pPr>
        <w:pStyle w:val="112"/>
        <w:numPr>
          <w:ilvl w:val="0"/>
          <w:numId w:val="33"/>
        </w:numPr>
        <w:spacing w:before="312" w:after="312"/>
        <w:ind w:left="0"/>
      </w:pPr>
      <w:bookmarkStart w:id="480" w:name="_Toc144924176"/>
      <w:bookmarkStart w:id="481" w:name="_Toc153186205"/>
      <w:bookmarkStart w:id="482" w:name="_Toc151494055"/>
      <w:r>
        <w:rPr>
          <w:rFonts w:hint="eastAsia"/>
        </w:rPr>
        <w:t>改进</w:t>
      </w:r>
      <w:bookmarkEnd w:id="480"/>
      <w:bookmarkEnd w:id="481"/>
      <w:bookmarkEnd w:id="482"/>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483" w:name="_Toc153186206"/>
      <w:bookmarkStart w:id="484" w:name="_Toc151494056"/>
      <w:bookmarkStart w:id="485" w:name="_Toc144924177"/>
      <w:r>
        <w:rPr>
          <w:rFonts w:hint="eastAsia" w:hAnsi="黑体" w:cs="Arial"/>
          <w:color w:val="000000" w:themeColor="text1"/>
          <w14:textFill>
            <w14:solidFill>
              <w14:schemeClr w14:val="tx1"/>
            </w14:solidFill>
          </w14:textFill>
        </w:rPr>
        <w:t>总则</w:t>
      </w:r>
      <w:bookmarkEnd w:id="483"/>
      <w:bookmarkEnd w:id="484"/>
      <w:bookmarkEnd w:id="485"/>
    </w:p>
    <w:p>
      <w:pPr>
        <w:pStyle w:val="15"/>
        <w:spacing w:after="0" w:line="240" w:lineRule="auto"/>
        <w:ind w:firstLine="420"/>
      </w:pPr>
      <w:bookmarkStart w:id="486" w:name="_Hlk151512007"/>
      <w:r>
        <w:rPr>
          <w:rFonts w:hint="eastAsia"/>
        </w:rPr>
        <w:t>组织应根据碳排放绩效评价结果对不符合部分及时进行纠正及改进。</w:t>
      </w:r>
    </w:p>
    <w:bookmarkEnd w:id="486"/>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487" w:name="_Toc144924178"/>
      <w:bookmarkEnd w:id="487"/>
      <w:bookmarkStart w:id="488" w:name="_Toc144924179"/>
      <w:bookmarkEnd w:id="488"/>
      <w:bookmarkStart w:id="489" w:name="_Toc153186207"/>
      <w:bookmarkStart w:id="490" w:name="_Toc151494057"/>
      <w:bookmarkStart w:id="491" w:name="_Toc144924180"/>
      <w:r>
        <w:rPr>
          <w:rFonts w:hint="eastAsia" w:hAnsi="黑体" w:cs="Arial"/>
          <w:color w:val="000000" w:themeColor="text1"/>
          <w14:textFill>
            <w14:solidFill>
              <w14:schemeClr w14:val="tx1"/>
            </w14:solidFill>
          </w14:textFill>
        </w:rPr>
        <w:t>不符合及纠正措施</w:t>
      </w:r>
      <w:bookmarkEnd w:id="489"/>
      <w:bookmarkEnd w:id="490"/>
      <w:bookmarkEnd w:id="491"/>
    </w:p>
    <w:p>
      <w:pPr>
        <w:pStyle w:val="15"/>
        <w:spacing w:after="0" w:line="240" w:lineRule="auto"/>
        <w:ind w:firstLine="420"/>
      </w:pPr>
      <w:r>
        <w:rPr>
          <w:rFonts w:hint="eastAsia"/>
        </w:rPr>
        <w:t>发现不符合时，组织应：</w:t>
      </w:r>
    </w:p>
    <w:p>
      <w:pPr>
        <w:pStyle w:val="182"/>
        <w:numPr>
          <w:ilvl w:val="0"/>
          <w:numId w:val="64"/>
        </w:numPr>
      </w:pPr>
      <w:r>
        <w:rPr>
          <w:rFonts w:hint="eastAsia"/>
        </w:rPr>
        <w:t>对不符合做出响应，适用时：</w:t>
      </w:r>
    </w:p>
    <w:p>
      <w:pPr>
        <w:pStyle w:val="182"/>
        <w:numPr>
          <w:ilvl w:val="0"/>
          <w:numId w:val="0"/>
        </w:numPr>
        <w:ind w:left="851"/>
      </w:pPr>
      <w:r>
        <w:rPr>
          <w:rFonts w:hint="eastAsia"/>
        </w:rPr>
        <w:t>——采取措施控制并纠正不符合；</w:t>
      </w:r>
    </w:p>
    <w:p>
      <w:pPr>
        <w:pStyle w:val="182"/>
        <w:numPr>
          <w:ilvl w:val="0"/>
          <w:numId w:val="0"/>
        </w:numPr>
        <w:ind w:left="851"/>
      </w:pPr>
      <w:r>
        <w:rPr>
          <w:rFonts w:hint="eastAsia"/>
        </w:rPr>
        <w:t>——处理后果。</w:t>
      </w:r>
    </w:p>
    <w:p>
      <w:pPr>
        <w:pStyle w:val="182"/>
        <w:rPr>
          <w:rFonts w:hint="eastAsia" w:hAnsi="宋体"/>
          <w:kern w:val="2"/>
          <w:szCs w:val="21"/>
        </w:rPr>
      </w:pPr>
      <w:r>
        <w:rPr>
          <w:rFonts w:hint="eastAsia" w:hAnsi="宋体"/>
          <w:kern w:val="2"/>
          <w:szCs w:val="21"/>
        </w:rPr>
        <w:t>通过以下活动评价消除不符合原因的措施需求，以防不符合再次发生或在其他地方发生：</w:t>
      </w:r>
    </w:p>
    <w:p>
      <w:pPr>
        <w:pStyle w:val="182"/>
        <w:numPr>
          <w:ilvl w:val="0"/>
          <w:numId w:val="0"/>
        </w:numPr>
        <w:ind w:left="851"/>
      </w:pPr>
      <w:r>
        <w:rPr>
          <w:rFonts w:hint="eastAsia"/>
        </w:rPr>
        <w:t>——分析不符合</w:t>
      </w:r>
      <w:r>
        <w:t>；</w:t>
      </w:r>
    </w:p>
    <w:p>
      <w:pPr>
        <w:pStyle w:val="182"/>
        <w:numPr>
          <w:ilvl w:val="0"/>
          <w:numId w:val="0"/>
        </w:numPr>
        <w:ind w:left="851"/>
      </w:pPr>
      <w:r>
        <w:rPr>
          <w:rFonts w:hint="eastAsia"/>
        </w:rPr>
        <w:t>——确定不符合的原因；</w:t>
      </w:r>
    </w:p>
    <w:p>
      <w:pPr>
        <w:pStyle w:val="182"/>
        <w:numPr>
          <w:ilvl w:val="0"/>
          <w:numId w:val="0"/>
        </w:numPr>
        <w:ind w:left="851"/>
      </w:pPr>
      <w:r>
        <w:rPr>
          <w:rFonts w:hint="eastAsia"/>
        </w:rPr>
        <w:t>——确定是否存在或可能发生类似的不符合。</w:t>
      </w:r>
    </w:p>
    <w:p>
      <w:pPr>
        <w:pStyle w:val="182"/>
        <w:rPr>
          <w:rFonts w:hint="eastAsia" w:hAnsi="宋体"/>
          <w:kern w:val="2"/>
          <w:szCs w:val="21"/>
        </w:rPr>
      </w:pPr>
      <w:r>
        <w:rPr>
          <w:rFonts w:hint="eastAsia" w:hAnsi="宋体"/>
          <w:kern w:val="2"/>
          <w:szCs w:val="21"/>
        </w:rPr>
        <w:t>实施任何所需的措施；</w:t>
      </w:r>
    </w:p>
    <w:p>
      <w:pPr>
        <w:pStyle w:val="182"/>
        <w:rPr>
          <w:rFonts w:hint="eastAsia" w:hAnsi="宋体"/>
          <w:kern w:val="2"/>
          <w:szCs w:val="21"/>
        </w:rPr>
      </w:pPr>
      <w:r>
        <w:rPr>
          <w:rFonts w:hint="eastAsia" w:hAnsi="宋体"/>
          <w:kern w:val="2"/>
          <w:szCs w:val="21"/>
        </w:rPr>
        <w:t>评审所采取的任何纠正措施的有效性；</w:t>
      </w:r>
    </w:p>
    <w:p>
      <w:pPr>
        <w:pStyle w:val="182"/>
      </w:pPr>
      <w:r>
        <w:rPr>
          <w:rFonts w:hint="eastAsia"/>
        </w:rPr>
        <w:t>必要时，对碳排放管理体系进行变更。</w:t>
      </w:r>
    </w:p>
    <w:p>
      <w:pPr>
        <w:pStyle w:val="15"/>
        <w:spacing w:after="0" w:line="240" w:lineRule="auto"/>
        <w:ind w:firstLine="420"/>
      </w:pPr>
      <w:r>
        <w:rPr>
          <w:rFonts w:hint="eastAsia"/>
        </w:rPr>
        <w:t>纠正措施应与所发生的不符合的影响相适应。</w:t>
      </w:r>
    </w:p>
    <w:p>
      <w:pPr>
        <w:pStyle w:val="182"/>
        <w:numPr>
          <w:ilvl w:val="0"/>
          <w:numId w:val="0"/>
        </w:numPr>
        <w:ind w:left="425"/>
      </w:pPr>
      <w:r>
        <w:rPr>
          <w:rFonts w:hint="eastAsia" w:hAnsi="宋体"/>
          <w:kern w:val="2"/>
          <w:szCs w:val="21"/>
        </w:rPr>
        <w:t>组织应保留以下文件化信息</w:t>
      </w:r>
      <w:r>
        <w:rPr>
          <w:rFonts w:hint="eastAsia"/>
        </w:rPr>
        <w:t>：</w:t>
      </w:r>
    </w:p>
    <w:p>
      <w:pPr>
        <w:pStyle w:val="182"/>
        <w:numPr>
          <w:ilvl w:val="0"/>
          <w:numId w:val="0"/>
        </w:numPr>
        <w:ind w:left="851"/>
      </w:pPr>
      <w:r>
        <w:rPr>
          <w:rFonts w:hint="eastAsia"/>
        </w:rPr>
        <w:t>——不符合的性质及所采取的任何后续措施；</w:t>
      </w:r>
    </w:p>
    <w:p>
      <w:pPr>
        <w:pStyle w:val="182"/>
        <w:numPr>
          <w:ilvl w:val="0"/>
          <w:numId w:val="0"/>
        </w:numPr>
        <w:ind w:left="851"/>
      </w:pPr>
      <w:r>
        <w:rPr>
          <w:rFonts w:hint="eastAsia"/>
        </w:rPr>
        <w:t>——任何纠正措施的结果。</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492" w:name="_Toc144924181"/>
      <w:bookmarkStart w:id="493" w:name="_Toc153186208"/>
      <w:bookmarkStart w:id="494" w:name="_Toc151494058"/>
      <w:r>
        <w:rPr>
          <w:rFonts w:hint="eastAsia" w:hAnsi="黑体" w:cs="Arial"/>
          <w:color w:val="000000" w:themeColor="text1"/>
          <w14:textFill>
            <w14:solidFill>
              <w14:schemeClr w14:val="tx1"/>
            </w14:solidFill>
          </w14:textFill>
        </w:rPr>
        <w:t>持续改进</w:t>
      </w:r>
      <w:bookmarkEnd w:id="492"/>
      <w:bookmarkEnd w:id="493"/>
      <w:bookmarkEnd w:id="494"/>
    </w:p>
    <w:p>
      <w:pPr>
        <w:pStyle w:val="15"/>
        <w:spacing w:after="0" w:line="240" w:lineRule="auto"/>
        <w:ind w:firstLine="420"/>
      </w:pPr>
      <w:r>
        <w:rPr>
          <w:rFonts w:hint="eastAsia"/>
        </w:rPr>
        <w:t>组织应持续改进碳排放管理体系的适宜性、充分性和有效性。</w:t>
      </w:r>
    </w:p>
    <w:p>
      <w:pPr>
        <w:pStyle w:val="112"/>
        <w:numPr>
          <w:ilvl w:val="0"/>
          <w:numId w:val="33"/>
        </w:numPr>
        <w:spacing w:before="312" w:after="312"/>
        <w:ind w:left="0"/>
      </w:pPr>
      <w:bookmarkStart w:id="495" w:name="_Toc144924182"/>
      <w:bookmarkStart w:id="496" w:name="_Toc153186209"/>
      <w:bookmarkStart w:id="497" w:name="_Toc151494059"/>
      <w:bookmarkStart w:id="498" w:name="_Hlk151512048"/>
      <w:r>
        <w:rPr>
          <w:rFonts w:hint="eastAsia"/>
        </w:rPr>
        <w:t>评价指标体系</w:t>
      </w:r>
      <w:bookmarkEnd w:id="495"/>
      <w:bookmarkEnd w:id="496"/>
      <w:bookmarkEnd w:id="497"/>
    </w:p>
    <w:bookmarkEnd w:id="498"/>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499" w:name="_Toc151494060"/>
      <w:bookmarkStart w:id="500" w:name="_Toc144924183"/>
      <w:bookmarkStart w:id="501" w:name="_Toc153186210"/>
      <w:r>
        <w:rPr>
          <w:rFonts w:hint="eastAsia" w:hAnsi="黑体" w:cs="Arial"/>
          <w:color w:val="000000" w:themeColor="text1"/>
          <w14:textFill>
            <w14:solidFill>
              <w14:schemeClr w14:val="tx1"/>
            </w14:solidFill>
          </w14:textFill>
        </w:rPr>
        <w:t>评价方法</w:t>
      </w:r>
      <w:bookmarkEnd w:id="499"/>
      <w:bookmarkEnd w:id="500"/>
      <w:bookmarkEnd w:id="501"/>
    </w:p>
    <w:p>
      <w:pPr>
        <w:pStyle w:val="15"/>
        <w:spacing w:after="0" w:line="240" w:lineRule="auto"/>
        <w:ind w:firstLine="420"/>
      </w:pPr>
      <w:bookmarkStart w:id="502" w:name="_Hlk151512070"/>
      <w:r>
        <w:rPr>
          <w:rFonts w:hint="eastAsia"/>
        </w:rPr>
        <w:t>碳排放管理体系建设与评价指南指标体系由定性评价指标和定量评价指标组成的成熟度评价方法。</w:t>
      </w:r>
    </w:p>
    <w:p>
      <w:pPr>
        <w:pStyle w:val="15"/>
        <w:spacing w:after="0" w:line="240" w:lineRule="auto"/>
        <w:ind w:firstLine="420"/>
      </w:pPr>
      <w:r>
        <w:rPr>
          <w:rFonts w:hint="eastAsia"/>
        </w:rPr>
        <w:t>组织宜聘请外部机构进行碳排放管理体系评价，有自评条件的可自行评价。</w:t>
      </w:r>
    </w:p>
    <w:bookmarkEnd w:id="502"/>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503" w:name="_Toc144924184"/>
      <w:bookmarkStart w:id="504" w:name="_Toc151494061"/>
      <w:bookmarkStart w:id="505" w:name="_Toc153186211"/>
      <w:r>
        <w:rPr>
          <w:rFonts w:hint="eastAsia" w:hAnsi="黑体" w:cs="Arial"/>
          <w:color w:val="000000" w:themeColor="text1"/>
          <w14:textFill>
            <w14:solidFill>
              <w14:schemeClr w14:val="tx1"/>
            </w14:solidFill>
          </w14:textFill>
        </w:rPr>
        <w:t>定性评价</w:t>
      </w:r>
      <w:bookmarkEnd w:id="503"/>
      <w:bookmarkEnd w:id="504"/>
      <w:bookmarkEnd w:id="505"/>
    </w:p>
    <w:p>
      <w:pPr>
        <w:pStyle w:val="15"/>
        <w:spacing w:after="0" w:line="240" w:lineRule="auto"/>
        <w:ind w:firstLine="420"/>
        <w:rPr>
          <w:rFonts w:hint="eastAsia" w:ascii="宋体" w:hAnsi="宋体" w:cs="宋体"/>
        </w:rPr>
      </w:pPr>
      <w:r>
        <w:rPr>
          <w:rFonts w:hint="eastAsia" w:ascii="宋体" w:hAnsi="宋体" w:cs="宋体"/>
        </w:rPr>
        <w:t>定性评价指标体系由一级指标（7个）、二级指标（30个）两个层次构成。一级指标为组织所处的环境、领导作用、策划、支持、运行、绩效评价和改进，二级指标为一级指标下实施过程中的各个关键环节节点。定性评价指标评分细则见附录A的表A.1，定性评价部分总分值为100分。</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506" w:name="_Toc153186212"/>
      <w:bookmarkStart w:id="507" w:name="_Toc144924185"/>
      <w:bookmarkStart w:id="508" w:name="_Toc151494062"/>
      <w:r>
        <w:rPr>
          <w:rFonts w:hint="eastAsia" w:hAnsi="黑体" w:cs="Arial"/>
          <w:color w:val="000000" w:themeColor="text1"/>
          <w14:textFill>
            <w14:solidFill>
              <w14:schemeClr w14:val="tx1"/>
            </w14:solidFill>
          </w14:textFill>
        </w:rPr>
        <w:t>定量评价</w:t>
      </w:r>
      <w:bookmarkEnd w:id="506"/>
      <w:bookmarkEnd w:id="507"/>
      <w:bookmarkEnd w:id="508"/>
    </w:p>
    <w:p>
      <w:pPr>
        <w:pStyle w:val="15"/>
        <w:spacing w:after="0" w:line="240" w:lineRule="auto"/>
        <w:ind w:firstLine="420"/>
        <w:rPr>
          <w:rFonts w:hint="eastAsia" w:ascii="宋体" w:hAnsi="宋体" w:cs="宋体"/>
        </w:rPr>
      </w:pPr>
      <w:bookmarkStart w:id="509" w:name="_Toc144924186"/>
      <w:r>
        <w:rPr>
          <w:rFonts w:hint="eastAsia" w:ascii="宋体" w:hAnsi="宋体" w:cs="宋体"/>
        </w:rPr>
        <w:t>定量评价通过收集组织的年碳排放量、组织年产品产量、产值或服务量等数据，依据公式计算得出。定量评价指标评分细则见附录A的表A.2。</w:t>
      </w:r>
      <w:bookmarkEnd w:id="509"/>
    </w:p>
    <w:p>
      <w:pPr>
        <w:pStyle w:val="297"/>
        <w:numPr>
          <w:ilvl w:val="2"/>
          <w:numId w:val="33"/>
        </w:numPr>
        <w:spacing w:before="156" w:beforeLines="50" w:after="156" w:afterLines="50"/>
        <w:rPr>
          <w:rFonts w:hint="eastAsia" w:hAnsi="黑体" w:cs="Arial"/>
          <w:color w:val="000000" w:themeColor="text1"/>
          <w14:textFill>
            <w14:solidFill>
              <w14:schemeClr w14:val="tx1"/>
            </w14:solidFill>
          </w14:textFill>
        </w:rPr>
      </w:pPr>
      <w:bookmarkStart w:id="510" w:name="_Toc144924187"/>
      <w:bookmarkStart w:id="511" w:name="_Toc151494063"/>
      <w:bookmarkStart w:id="512" w:name="_Toc153186213"/>
      <w:r>
        <w:rPr>
          <w:rFonts w:hint="eastAsia" w:hAnsi="黑体" w:cs="Arial"/>
          <w:color w:val="000000" w:themeColor="text1"/>
          <w14:textFill>
            <w14:solidFill>
              <w14:schemeClr w14:val="tx1"/>
            </w14:solidFill>
          </w14:textFill>
        </w:rPr>
        <w:t>碳排放强度</w:t>
      </w:r>
      <w:bookmarkEnd w:id="510"/>
      <w:bookmarkEnd w:id="511"/>
      <w:bookmarkEnd w:id="512"/>
    </w:p>
    <w:p>
      <w:pPr>
        <w:pStyle w:val="15"/>
        <w:spacing w:after="0" w:line="240" w:lineRule="auto"/>
        <w:ind w:firstLine="420"/>
      </w:pPr>
      <w:r>
        <w:rPr>
          <w:rFonts w:hint="eastAsia" w:ascii="宋体" w:hAnsi="宋体" w:cs="宋体"/>
        </w:rPr>
        <w:t>碳排放强度应按照公式（1）计算：</w:t>
      </w:r>
    </w:p>
    <w:p>
      <w:pPr>
        <w:pStyle w:val="121"/>
        <w:ind w:firstLine="420" w:firstLineChars="200"/>
        <w:jc w:val="right"/>
        <w:rPr>
          <w:rFonts w:hint="eastAsia"/>
        </w:rPr>
      </w:pPr>
      <m:oMath>
        <m:r>
          <m:rPr/>
          <w:rPr>
            <w:rFonts w:ascii="Cambria Math" w:hAnsi="Cambria Math"/>
          </w:rPr>
          <m:t>C</m:t>
        </m:r>
        <m:r>
          <m:rPr>
            <m:sty m:val="p"/>
          </m:rPr>
          <w:rPr>
            <w:rFonts w:hint="eastAsia"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EC</m:t>
                </m:r>
                <m:ctrlPr>
                  <w:rPr>
                    <w:rFonts w:ascii="Cambria Math" w:hAnsi="Cambria Math"/>
                    <w:i/>
                  </w:rPr>
                </m:ctrlPr>
              </m:e>
              <m:sub>
                <m:r>
                  <m:rPr/>
                  <w:rPr>
                    <w:rFonts w:hint="eastAsia" w:ascii="Cambria Math" w:hAnsi="Cambria Math"/>
                  </w:rPr>
                  <m:t>总</m:t>
                </m:r>
                <m:ctrlPr>
                  <w:rPr>
                    <w:rFonts w:ascii="Cambria Math" w:hAnsi="Cambria Math"/>
                    <w:i/>
                  </w:rPr>
                </m:ctrlPr>
              </m:sub>
            </m:sSub>
            <m:ctrlPr>
              <w:rPr>
                <w:rFonts w:ascii="Cambria Math" w:hAnsi="Cambria Math"/>
                <w:i/>
              </w:rPr>
            </m:ctrlPr>
          </m:num>
          <m:den>
            <m:r>
              <m:rPr/>
              <w:rPr>
                <w:rFonts w:ascii="Cambria Math" w:hAnsi="Cambria Math"/>
              </w:rPr>
              <m:t>Q</m:t>
            </m:r>
            <m:ctrlPr>
              <w:rPr>
                <w:rFonts w:ascii="Cambria Math" w:hAnsi="Cambria Math"/>
                <w:i/>
              </w:rPr>
            </m:ctrlPr>
          </m:den>
        </m:f>
      </m:oMath>
      <w:r>
        <w:rPr>
          <w:rFonts w:hint="eastAsia" w:hAnsi="Cambria Math"/>
        </w:rPr>
        <w:t xml:space="preserve">                                  </w:t>
      </w:r>
      <w:r>
        <w:rPr>
          <w:rFonts w:hint="eastAsia"/>
        </w:rPr>
        <w:t>（</w:t>
      </w:r>
      <w:r>
        <w:t>1</w:t>
      </w:r>
      <w:r>
        <w:rPr>
          <w:rFonts w:hint="eastAsia"/>
        </w:rPr>
        <w:t>）</w:t>
      </w:r>
    </w:p>
    <w:p>
      <w:pPr>
        <w:pStyle w:val="15"/>
        <w:spacing w:after="0" w:line="240" w:lineRule="auto"/>
        <w:ind w:firstLine="420"/>
      </w:pPr>
      <w:r>
        <w:rPr>
          <w:rFonts w:hint="eastAsia"/>
        </w:rPr>
        <w:t>式中：</w:t>
      </w:r>
    </w:p>
    <w:p>
      <w:pPr>
        <w:pStyle w:val="15"/>
        <w:spacing w:after="0" w:line="240" w:lineRule="auto"/>
        <w:ind w:firstLine="420"/>
      </w:pPr>
      <m:oMath>
        <m:r>
          <m:rPr/>
          <w:rPr>
            <w:rFonts w:ascii="Cambria Math" w:hAnsi="Cambria Math"/>
          </w:rPr>
          <m:t>C</m:t>
        </m:r>
      </m:oMath>
      <w:r>
        <w:rPr>
          <w:rFonts w:hint="eastAsia"/>
        </w:rPr>
        <w:t>——碳排放强度（单位GDP、单位产值、单位产品、单位面积等</w:t>
      </w:r>
      <w:r>
        <w:rPr>
          <w:rFonts w:hint="eastAsia" w:asciiTheme="minorHAnsi" w:hAnsiTheme="minorHAnsi" w:cstheme="minorBidi"/>
        </w:rPr>
        <w:t>排放量</w:t>
      </w:r>
      <w:r>
        <w:rPr>
          <w:rFonts w:hint="eastAsia"/>
        </w:rPr>
        <w:t>）；</w:t>
      </w:r>
    </w:p>
    <w:p>
      <w:pPr>
        <w:pStyle w:val="15"/>
        <w:spacing w:after="0" w:line="240" w:lineRule="auto"/>
        <w:ind w:firstLine="420"/>
      </w:pPr>
      <m:oMath>
        <m:sSub>
          <m:sSubPr>
            <m:ctrlPr>
              <w:rPr>
                <w:rFonts w:ascii="Cambria Math" w:hAnsi="Cambria Math"/>
                <w:i/>
              </w:rPr>
            </m:ctrlPr>
          </m:sSubPr>
          <m:e>
            <m:r>
              <m:rPr/>
              <w:rPr>
                <w:rFonts w:ascii="Cambria Math" w:hAnsi="Cambria Math"/>
              </w:rPr>
              <m:t>EC</m:t>
            </m:r>
            <m:ctrlPr>
              <w:rPr>
                <w:rFonts w:ascii="Cambria Math" w:hAnsi="Cambria Math"/>
                <w:i/>
              </w:rPr>
            </m:ctrlPr>
          </m:e>
          <m:sub>
            <m:r>
              <m:rPr/>
              <w:rPr>
                <w:rFonts w:hint="eastAsia" w:ascii="Cambria Math" w:hAnsi="Cambria Math"/>
              </w:rPr>
              <m:t>总</m:t>
            </m:r>
            <m:ctrlPr>
              <w:rPr>
                <w:rFonts w:ascii="Cambria Math" w:hAnsi="Cambria Math"/>
                <w:i/>
              </w:rPr>
            </m:ctrlPr>
          </m:sub>
        </m:sSub>
      </m:oMath>
      <w:r>
        <w:rPr>
          <w:rFonts w:hint="eastAsia"/>
        </w:rPr>
        <w:t>——组织年碳排放量，单位为年千克二氧化碳当量（</w:t>
      </w:r>
      <w:r>
        <w:t>kgC0</w:t>
      </w:r>
      <w:r>
        <w:rPr>
          <w:vertAlign w:val="subscript"/>
        </w:rPr>
        <w:t>2</w:t>
      </w:r>
      <w:r>
        <w:t>/y</w:t>
      </w:r>
      <w:r>
        <w:rPr>
          <w:rFonts w:hint="eastAsia"/>
        </w:rPr>
        <w:t>）；</w:t>
      </w:r>
    </w:p>
    <w:p>
      <w:pPr>
        <w:pStyle w:val="15"/>
        <w:spacing w:after="0" w:line="240" w:lineRule="auto"/>
        <w:ind w:firstLine="420"/>
      </w:pPr>
      <m:oMath>
        <m:r>
          <m:rPr/>
          <w:rPr>
            <w:rFonts w:ascii="Cambria Math" w:hAnsi="Cambria Math"/>
          </w:rPr>
          <m:t>Q</m:t>
        </m:r>
      </m:oMath>
      <w:r>
        <w:rPr>
          <w:rFonts w:hint="eastAsia"/>
        </w:rPr>
        <w:t>——组织年产品产量、产值、面积、人数或服务量等。</w:t>
      </w:r>
    </w:p>
    <w:p>
      <w:pPr>
        <w:pStyle w:val="297"/>
        <w:numPr>
          <w:ilvl w:val="2"/>
          <w:numId w:val="33"/>
        </w:numPr>
        <w:spacing w:before="156" w:beforeLines="50" w:after="156" w:afterLines="50"/>
        <w:rPr>
          <w:rFonts w:hint="eastAsia" w:hAnsi="黑体" w:cs="Arial"/>
          <w:color w:val="000000" w:themeColor="text1"/>
          <w14:textFill>
            <w14:solidFill>
              <w14:schemeClr w14:val="tx1"/>
            </w14:solidFill>
          </w14:textFill>
        </w:rPr>
      </w:pPr>
      <w:bookmarkStart w:id="513" w:name="_Toc144924191"/>
      <w:bookmarkEnd w:id="513"/>
      <w:bookmarkStart w:id="514" w:name="_Toc144924192"/>
      <w:bookmarkEnd w:id="514"/>
      <w:bookmarkStart w:id="515" w:name="_Toc144924196"/>
      <w:bookmarkEnd w:id="515"/>
      <w:bookmarkStart w:id="516" w:name="_Toc144924197"/>
      <w:bookmarkEnd w:id="516"/>
      <w:bookmarkStart w:id="517" w:name="_Toc144924201"/>
      <w:bookmarkEnd w:id="517"/>
      <w:bookmarkStart w:id="518" w:name="_Toc144924188"/>
      <w:bookmarkEnd w:id="518"/>
      <w:bookmarkStart w:id="519" w:name="_Toc144924194"/>
      <w:bookmarkEnd w:id="519"/>
      <w:bookmarkStart w:id="520" w:name="_Toc144924199"/>
      <w:bookmarkEnd w:id="520"/>
      <w:bookmarkStart w:id="521" w:name="_Toc144924189"/>
      <w:bookmarkEnd w:id="521"/>
      <w:bookmarkStart w:id="522" w:name="_Toc144924190"/>
      <w:bookmarkEnd w:id="522"/>
      <w:bookmarkStart w:id="523" w:name="_Toc144924193"/>
      <w:bookmarkEnd w:id="523"/>
      <w:bookmarkStart w:id="524" w:name="_Toc144924198"/>
      <w:bookmarkEnd w:id="524"/>
      <w:bookmarkStart w:id="525" w:name="_Toc144924195"/>
      <w:bookmarkEnd w:id="525"/>
      <w:bookmarkStart w:id="526" w:name="_Toc144924200"/>
      <w:bookmarkEnd w:id="526"/>
      <w:bookmarkStart w:id="527" w:name="_Toc144924202"/>
      <w:bookmarkStart w:id="528" w:name="_Toc151494064"/>
      <w:bookmarkStart w:id="529" w:name="_Toc153186214"/>
      <w:r>
        <w:rPr>
          <w:rFonts w:hint="eastAsia" w:hAnsi="黑体" w:cs="Arial"/>
          <w:color w:val="000000" w:themeColor="text1"/>
          <w14:textFill>
            <w14:solidFill>
              <w14:schemeClr w14:val="tx1"/>
            </w14:solidFill>
          </w14:textFill>
        </w:rPr>
        <w:t>定量评价指标分值</w:t>
      </w:r>
      <w:bookmarkEnd w:id="527"/>
      <w:bookmarkEnd w:id="528"/>
      <w:bookmarkEnd w:id="529"/>
    </w:p>
    <w:p>
      <w:pPr>
        <w:pStyle w:val="15"/>
        <w:spacing w:after="0" w:line="240" w:lineRule="auto"/>
        <w:ind w:firstLine="420"/>
      </w:pPr>
      <w:r>
        <w:rPr>
          <w:rFonts w:hint="eastAsia"/>
        </w:rPr>
        <w:t>定量评价部分的总分可根据行业碳排放强度先进值确定，对于未发布行业碳排放强度先进值的产品，可采取历史法，总分值100分，详见附录A表A.2，具体要求如下：</w:t>
      </w:r>
    </w:p>
    <w:p>
      <w:pPr>
        <w:pStyle w:val="182"/>
        <w:numPr>
          <w:ilvl w:val="0"/>
          <w:numId w:val="65"/>
        </w:numPr>
      </w:pPr>
      <w:r>
        <w:rPr>
          <w:rFonts w:hint="eastAsia"/>
        </w:rPr>
        <w:t>当组织的行业碳排放强度先进值存在并适用时宜根据最新公布碳排放核算指南和对应的碳排放先进值。；</w:t>
      </w:r>
    </w:p>
    <w:p>
      <w:pPr>
        <w:pStyle w:val="182"/>
      </w:pPr>
      <w:r>
        <w:rPr>
          <w:rFonts w:hint="eastAsia"/>
        </w:rPr>
        <w:t>对于未发布行业碳排放强度先进值的，优先采用碳排放强度指标，优先采用本地数据。若查找无相关数据，可采取历史法，组织最优年度指标值下降一定幅度。</w:t>
      </w:r>
    </w:p>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530" w:name="_Toc153186215"/>
      <w:bookmarkStart w:id="531" w:name="_Toc151494065"/>
      <w:r>
        <w:rPr>
          <w:rFonts w:hint="eastAsia" w:hAnsi="黑体" w:cs="Arial"/>
          <w:color w:val="000000" w:themeColor="text1"/>
          <w14:textFill>
            <w14:solidFill>
              <w14:schemeClr w14:val="tx1"/>
            </w14:solidFill>
          </w14:textFill>
        </w:rPr>
        <w:t>评价指标计分及评价结果</w:t>
      </w:r>
      <w:bookmarkEnd w:id="530"/>
      <w:bookmarkEnd w:id="531"/>
    </w:p>
    <w:p>
      <w:pPr>
        <w:pStyle w:val="297"/>
        <w:numPr>
          <w:ilvl w:val="2"/>
          <w:numId w:val="33"/>
        </w:numPr>
        <w:spacing w:before="156" w:beforeLines="50" w:after="156" w:afterLines="50"/>
        <w:rPr>
          <w:rFonts w:hint="eastAsia" w:hAnsi="黑体" w:cs="Arial"/>
          <w:color w:val="000000" w:themeColor="text1"/>
          <w14:textFill>
            <w14:solidFill>
              <w14:schemeClr w14:val="tx1"/>
            </w14:solidFill>
          </w14:textFill>
        </w:rPr>
      </w:pPr>
      <w:bookmarkStart w:id="532" w:name="_Toc151494066"/>
      <w:bookmarkStart w:id="533" w:name="_Toc153186216"/>
      <w:r>
        <w:rPr>
          <w:rFonts w:hint="eastAsia" w:hAnsi="黑体" w:cs="Arial"/>
          <w:color w:val="000000" w:themeColor="text1"/>
          <w14:textFill>
            <w14:solidFill>
              <w14:schemeClr w14:val="tx1"/>
            </w14:solidFill>
          </w14:textFill>
        </w:rPr>
        <w:t>评价指标计分权重</w:t>
      </w:r>
      <w:bookmarkEnd w:id="532"/>
      <w:bookmarkEnd w:id="533"/>
    </w:p>
    <w:p>
      <w:pPr>
        <w:pStyle w:val="15"/>
        <w:spacing w:after="0" w:line="240" w:lineRule="auto"/>
        <w:ind w:firstLine="420"/>
        <w:rPr>
          <w:rFonts w:hint="eastAsia" w:ascii="宋体" w:hAnsi="宋体" w:cs="宋体"/>
        </w:rPr>
      </w:pPr>
      <w:r>
        <w:rPr>
          <w:rFonts w:hint="eastAsia" w:ascii="宋体" w:hAnsi="宋体" w:cs="宋体"/>
        </w:rPr>
        <w:t>综合得分由定性评价和定量评价两部分组成。综合得分计分权重按照公示（2）计算：</w:t>
      </w:r>
    </w:p>
    <w:p>
      <w:pPr>
        <w:pStyle w:val="121"/>
        <w:jc w:val="right"/>
        <w:rPr>
          <w:rFonts w:hint="eastAsia"/>
        </w:rPr>
      </w:pPr>
      <m:oMath>
        <m:r>
          <m:rPr/>
          <w:rPr>
            <w:rFonts w:ascii="Cambria Math" w:hAnsi="Cambria Math"/>
          </w:rPr>
          <m:t>I</m:t>
        </m:r>
        <m:r>
          <m:rPr>
            <m:sty m:val="p"/>
          </m:rPr>
          <w:rPr>
            <w:rFonts w:hint="eastAsia" w:ascii="Cambria Math" w:hAnsi="Cambria Math"/>
          </w:rPr>
          <m:t>=</m:t>
        </m:r>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1</m:t>
            </m:r>
            <m:ctrlPr>
              <w:rPr>
                <w:rFonts w:ascii="Cambria Math" w:hAnsi="Cambria Math"/>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hint="eastAsia" w:ascii="Cambria Math" w:hAnsi="Cambria Math"/>
              </w:rPr>
              <m:t>定性</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Q</m:t>
            </m:r>
            <m:ctrlPr>
              <w:rPr>
                <w:rFonts w:ascii="Cambria Math" w:hAnsi="Cambria Math"/>
                <w:i/>
              </w:rPr>
            </m:ctrlPr>
          </m:e>
          <m:sub>
            <m:r>
              <m:rPr/>
              <w:rPr>
                <w:rFonts w:hint="eastAsia" w:ascii="Cambria Math" w:hAnsi="Cambria Math"/>
              </w:rPr>
              <m:t>定量</m:t>
            </m:r>
            <m:ctrlPr>
              <w:rPr>
                <w:rFonts w:ascii="Cambria Math" w:hAnsi="Cambria Math"/>
                <w:i/>
              </w:rPr>
            </m:ctrlPr>
          </m:sub>
        </m:sSub>
      </m:oMath>
      <w:r>
        <w:rPr>
          <w:rFonts w:hint="eastAsia" w:hAnsi="Cambria Math"/>
        </w:rPr>
        <w:t xml:space="preserve">                     </w:t>
      </w:r>
      <w:r>
        <w:rPr>
          <w:rFonts w:hint="eastAsia"/>
        </w:rPr>
        <w:t>（</w:t>
      </w:r>
      <w:r>
        <w:t>2</w:t>
      </w:r>
      <w:r>
        <w:rPr>
          <w:rFonts w:hint="eastAsia"/>
        </w:rPr>
        <w:t>）</w:t>
      </w:r>
    </w:p>
    <w:p>
      <w:pPr>
        <w:pStyle w:val="15"/>
        <w:spacing w:after="0" w:line="240" w:lineRule="auto"/>
        <w:ind w:firstLine="420"/>
      </w:pPr>
      <w:r>
        <w:rPr>
          <w:rFonts w:hint="eastAsia"/>
        </w:rPr>
        <w:t>式中：</w:t>
      </w:r>
    </w:p>
    <w:p>
      <w:pPr>
        <w:pStyle w:val="15"/>
        <w:spacing w:after="0" w:line="240" w:lineRule="auto"/>
        <w:ind w:firstLine="420"/>
      </w:pPr>
      <m:oMath>
        <m:r>
          <m:rPr/>
          <w:rPr>
            <w:rFonts w:ascii="Cambria Math" w:hAnsi="Cambria Math"/>
          </w:rPr>
          <m:t>I</m:t>
        </m:r>
      </m:oMath>
      <w:r>
        <w:t xml:space="preserve">   </w:t>
      </w:r>
      <w:r>
        <w:rPr>
          <w:rFonts w:hint="eastAsia"/>
        </w:rPr>
        <w:t>——综合得分；</w:t>
      </w:r>
    </w:p>
    <w:p>
      <w:pPr>
        <w:pStyle w:val="15"/>
        <w:spacing w:after="0" w:line="240" w:lineRule="auto"/>
        <w:ind w:firstLine="420"/>
      </w:pPr>
      <m:oMath>
        <m:sSub>
          <m:sSubPr>
            <m:ctrlPr>
              <w:rPr>
                <w:rFonts w:ascii="Cambria Math" w:hAnsi="Cambria Math"/>
                <w:i/>
              </w:rPr>
            </m:ctrlPr>
          </m:sSubPr>
          <m:e>
            <m:r>
              <m:rPr/>
              <w:rPr>
                <w:rFonts w:ascii="Cambria Math" w:hAnsi="Cambria Math"/>
              </w:rPr>
              <m:t>Q</m:t>
            </m:r>
            <m:ctrlPr>
              <w:rPr>
                <w:rFonts w:ascii="Cambria Math" w:hAnsi="Cambria Math"/>
                <w:i/>
              </w:rPr>
            </m:ctrlPr>
          </m:e>
          <m:sub>
            <m:r>
              <m:rPr/>
              <w:rPr>
                <w:rFonts w:hint="eastAsia" w:ascii="Cambria Math" w:hAnsi="Cambria Math"/>
              </w:rPr>
              <m:t>定性</m:t>
            </m:r>
            <m:ctrlPr>
              <w:rPr>
                <w:rFonts w:ascii="Cambria Math" w:hAnsi="Cambria Math"/>
                <w:i/>
              </w:rPr>
            </m:ctrlPr>
          </m:sub>
        </m:sSub>
      </m:oMath>
      <w:r>
        <w:rPr>
          <w:rFonts w:hint="eastAsia"/>
        </w:rPr>
        <w:t>——定性评价得分；</w:t>
      </w:r>
    </w:p>
    <w:p>
      <w:pPr>
        <w:pStyle w:val="15"/>
        <w:spacing w:after="0" w:line="240" w:lineRule="auto"/>
        <w:ind w:firstLine="420"/>
      </w:pPr>
      <m:oMath>
        <m:sSub>
          <m:sSubPr>
            <m:ctrlPr>
              <w:rPr>
                <w:rFonts w:ascii="Cambria Math" w:hAnsi="Cambria Math"/>
              </w:rPr>
            </m:ctrlPr>
          </m:sSubPr>
          <m:e>
            <m:r>
              <m:rPr/>
              <w:rPr>
                <w:rFonts w:ascii="Cambria Math" w:hAnsi="Cambria Math"/>
              </w:rPr>
              <m:t>a</m:t>
            </m:r>
            <m:ctrlPr>
              <w:rPr>
                <w:rFonts w:ascii="Cambria Math" w:hAnsi="Cambria Math"/>
              </w:rPr>
            </m:ctrlPr>
          </m:e>
          <m:sub>
            <m:r>
              <m:rPr/>
              <w:rPr>
                <w:rFonts w:ascii="Cambria Math" w:hAnsi="Cambria Math"/>
              </w:rPr>
              <m:t>1</m:t>
            </m:r>
            <m:ctrlPr>
              <w:rPr>
                <w:rFonts w:ascii="Cambria Math" w:hAnsi="Cambria Math"/>
              </w:rPr>
            </m:ctrlPr>
          </m:sub>
        </m:sSub>
      </m:oMath>
      <w:r>
        <w:t xml:space="preserve">  </w:t>
      </w:r>
      <w:r>
        <w:rPr>
          <w:rFonts w:hint="eastAsia"/>
        </w:rPr>
        <w:t>——定性评价指标权重为</w:t>
      </w:r>
      <w:r>
        <w:rPr>
          <w:rFonts w:hint="eastAsia" w:ascii="宋体" w:hAnsi="宋体" w:cs="宋体"/>
        </w:rPr>
        <w:t>0.7</w:t>
      </w:r>
      <w:r>
        <w:rPr>
          <w:rFonts w:hint="eastAsia"/>
        </w:rPr>
        <w:t>；</w:t>
      </w:r>
    </w:p>
    <w:p>
      <w:pPr>
        <w:pStyle w:val="15"/>
        <w:spacing w:after="0" w:line="240" w:lineRule="auto"/>
        <w:ind w:firstLine="420"/>
      </w:pPr>
      <m:oMath>
        <m:sSub>
          <m:sSubPr>
            <m:ctrlPr>
              <w:rPr>
                <w:rFonts w:ascii="Cambria Math" w:hAnsi="Cambria Math"/>
              </w:rPr>
            </m:ctrlPr>
          </m:sSubPr>
          <m:e>
            <m:r>
              <m:rPr/>
              <w:rPr>
                <w:rFonts w:ascii="Cambria Math" w:hAnsi="Cambria Math"/>
              </w:rPr>
              <m:t>Q</m:t>
            </m:r>
            <m:ctrlPr>
              <w:rPr>
                <w:rFonts w:ascii="Cambria Math" w:hAnsi="Cambria Math"/>
              </w:rPr>
            </m:ctrlPr>
          </m:e>
          <m:sub>
            <m:r>
              <m:rPr>
                <m:sty m:val="p"/>
              </m:rPr>
              <w:rPr>
                <w:rFonts w:hint="eastAsia" w:ascii="Cambria Math" w:hAnsi="Cambria Math"/>
              </w:rPr>
              <m:t>定量</m:t>
            </m:r>
            <m:ctrlPr>
              <w:rPr>
                <w:rFonts w:ascii="Cambria Math" w:hAnsi="Cambria Math"/>
              </w:rPr>
            </m:ctrlPr>
          </m:sub>
        </m:sSub>
      </m:oMath>
      <w:r>
        <w:rPr>
          <w:rFonts w:hint="eastAsia"/>
        </w:rPr>
        <w:t>——定量评价得分；</w:t>
      </w:r>
    </w:p>
    <w:p>
      <w:pPr>
        <w:pStyle w:val="15"/>
        <w:spacing w:after="0" w:line="240" w:lineRule="auto"/>
        <w:ind w:firstLine="420"/>
      </w:pPr>
      <m:oMath>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2</m:t>
            </m:r>
            <m:ctrlPr>
              <w:rPr>
                <w:rFonts w:ascii="Cambria Math" w:hAnsi="Cambria Math"/>
                <w:i/>
              </w:rPr>
            </m:ctrlPr>
          </m:sub>
        </m:sSub>
      </m:oMath>
      <w:r>
        <w:t xml:space="preserve">  </w:t>
      </w:r>
      <w:r>
        <w:rPr>
          <w:rFonts w:hint="eastAsia"/>
        </w:rPr>
        <w:t>——定量评价指标权重为</w:t>
      </w:r>
      <w:r>
        <w:rPr>
          <w:rFonts w:hint="eastAsia" w:ascii="宋体" w:hAnsi="宋体" w:cs="宋体"/>
        </w:rPr>
        <w:t>0.3</w:t>
      </w:r>
      <w:r>
        <w:rPr>
          <w:rFonts w:hint="eastAsia"/>
        </w:rPr>
        <w:t>。</w:t>
      </w:r>
    </w:p>
    <w:p>
      <w:pPr>
        <w:pStyle w:val="297"/>
        <w:numPr>
          <w:ilvl w:val="2"/>
          <w:numId w:val="33"/>
        </w:numPr>
        <w:spacing w:before="156" w:beforeLines="50" w:after="156" w:afterLines="50"/>
        <w:rPr>
          <w:rFonts w:hint="eastAsia" w:hAnsi="黑体" w:cs="Arial"/>
          <w:color w:val="000000" w:themeColor="text1"/>
          <w14:textFill>
            <w14:solidFill>
              <w14:schemeClr w14:val="tx1"/>
            </w14:solidFill>
          </w14:textFill>
        </w:rPr>
      </w:pPr>
      <w:bookmarkStart w:id="534" w:name="_Toc151494067"/>
      <w:bookmarkStart w:id="535" w:name="_Toc153186217"/>
      <w:r>
        <w:rPr>
          <w:rFonts w:hint="eastAsia" w:hAnsi="黑体" w:cs="Arial"/>
          <w:color w:val="000000" w:themeColor="text1"/>
          <w14:textFill>
            <w14:solidFill>
              <w14:schemeClr w14:val="tx1"/>
            </w14:solidFill>
          </w14:textFill>
        </w:rPr>
        <w:t>成熟度评价结果</w:t>
      </w:r>
      <w:bookmarkEnd w:id="534"/>
      <w:bookmarkEnd w:id="535"/>
    </w:p>
    <w:p>
      <w:pPr>
        <w:pStyle w:val="15"/>
        <w:spacing w:after="0" w:line="240" w:lineRule="auto"/>
        <w:ind w:firstLine="420"/>
        <w:rPr>
          <w:rFonts w:hint="eastAsia" w:ascii="宋体" w:hAnsi="宋体" w:cs="宋体"/>
        </w:rPr>
      </w:pPr>
      <w:r>
        <w:rPr>
          <w:rFonts w:hint="eastAsia" w:ascii="宋体" w:hAnsi="宋体" w:cs="宋体"/>
        </w:rPr>
        <w:t>成熟度评价结果以定性评价指标和定量评价指标的综合得分分值判定。综合得分采用百分制计分，按附录A中表A.1给出的分项权重计取。分项得分按附录A中的表A.2的评分细则和计算方法累积计取。成熟度评价结果按综合得分分为三星、二星、一星，共三个等级，见表1。</w:t>
      </w:r>
    </w:p>
    <w:p>
      <w:pPr>
        <w:pStyle w:val="120"/>
        <w:spacing w:before="156" w:after="156"/>
      </w:pPr>
      <w:r>
        <w:rPr>
          <w:rFonts w:hint="eastAsia"/>
        </w:rPr>
        <w:t>分数与等级对应关系</w:t>
      </w:r>
    </w:p>
    <w:tbl>
      <w:tblPr>
        <w:tblStyle w:val="34"/>
        <w:tblW w:w="3999" w:type="pct"/>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6" w:space="0"/>
        </w:tblBorders>
        <w:tblLayout w:type="autofit"/>
        <w:tblCellMar>
          <w:top w:w="0" w:type="dxa"/>
          <w:left w:w="108" w:type="dxa"/>
          <w:bottom w:w="0" w:type="dxa"/>
          <w:right w:w="108" w:type="dxa"/>
        </w:tblCellMar>
      </w:tblPr>
      <w:tblGrid>
        <w:gridCol w:w="1901"/>
        <w:gridCol w:w="1918"/>
        <w:gridCol w:w="1918"/>
        <w:gridCol w:w="191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6" w:space="0"/>
          </w:tblBorders>
          <w:tblCellMar>
            <w:top w:w="0" w:type="dxa"/>
            <w:left w:w="108" w:type="dxa"/>
            <w:bottom w:w="0" w:type="dxa"/>
            <w:right w:w="108" w:type="dxa"/>
          </w:tblCellMar>
        </w:tblPrEx>
        <w:trPr>
          <w:jc w:val="center"/>
        </w:trPr>
        <w:tc>
          <w:tcPr>
            <w:tcW w:w="1242" w:type="pct"/>
            <w:tcBorders>
              <w:tl2br w:val="nil"/>
              <w:tr2bl w:val="nil"/>
            </w:tcBorders>
            <w:vAlign w:val="center"/>
          </w:tcPr>
          <w:p>
            <w:pPr>
              <w:pStyle w:val="64"/>
              <w:jc w:val="center"/>
            </w:pPr>
            <w:r>
              <w:rPr>
                <w:rFonts w:hint="eastAsia"/>
              </w:rPr>
              <w:t>成熟度等级</w:t>
            </w:r>
          </w:p>
        </w:tc>
        <w:tc>
          <w:tcPr>
            <w:tcW w:w="1861" w:type="dxa"/>
            <w:tcBorders>
              <w:tl2br w:val="nil"/>
              <w:tr2bl w:val="nil"/>
            </w:tcBorders>
          </w:tcPr>
          <w:p>
            <w:pPr>
              <w:pStyle w:val="64"/>
              <w:jc w:val="center"/>
            </w:pPr>
            <w:r>
              <w:rPr>
                <w:rFonts w:hint="eastAsia"/>
              </w:rPr>
              <w:t>一星</w:t>
            </w:r>
          </w:p>
        </w:tc>
        <w:tc>
          <w:tcPr>
            <w:tcW w:w="1253" w:type="pct"/>
            <w:tcBorders>
              <w:tl2br w:val="nil"/>
              <w:tr2bl w:val="nil"/>
            </w:tcBorders>
            <w:vAlign w:val="center"/>
          </w:tcPr>
          <w:p>
            <w:pPr>
              <w:pStyle w:val="64"/>
              <w:jc w:val="center"/>
            </w:pPr>
            <w:r>
              <w:rPr>
                <w:rFonts w:hint="eastAsia"/>
              </w:rPr>
              <w:t>二星</w:t>
            </w:r>
          </w:p>
        </w:tc>
        <w:tc>
          <w:tcPr>
            <w:tcW w:w="1252" w:type="pct"/>
            <w:tcBorders>
              <w:tl2br w:val="nil"/>
              <w:tr2bl w:val="nil"/>
            </w:tcBorders>
          </w:tcPr>
          <w:p>
            <w:pPr>
              <w:pStyle w:val="64"/>
              <w:jc w:val="center"/>
            </w:pPr>
            <w:r>
              <w:rPr>
                <w:rFonts w:hint="eastAsia"/>
              </w:rPr>
              <w:t>三星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6" w:space="0"/>
          </w:tblBorders>
          <w:tblCellMar>
            <w:top w:w="0" w:type="dxa"/>
            <w:left w:w="108" w:type="dxa"/>
            <w:bottom w:w="0" w:type="dxa"/>
            <w:right w:w="108" w:type="dxa"/>
          </w:tblCellMar>
        </w:tblPrEx>
        <w:trPr>
          <w:jc w:val="center"/>
        </w:trPr>
        <w:tc>
          <w:tcPr>
            <w:tcW w:w="1242" w:type="pct"/>
            <w:tcBorders>
              <w:tl2br w:val="nil"/>
              <w:tr2bl w:val="nil"/>
            </w:tcBorders>
            <w:vAlign w:val="center"/>
          </w:tcPr>
          <w:p>
            <w:pPr>
              <w:pStyle w:val="64"/>
              <w:jc w:val="center"/>
            </w:pPr>
            <w:r>
              <w:rPr>
                <w:rFonts w:hint="eastAsia"/>
              </w:rPr>
              <w:t>综合得分分数</w:t>
            </w:r>
          </w:p>
        </w:tc>
        <w:tc>
          <w:tcPr>
            <w:tcW w:w="1861" w:type="dxa"/>
            <w:tcBorders>
              <w:tl2br w:val="nil"/>
              <w:tr2bl w:val="nil"/>
            </w:tcBorders>
          </w:tcPr>
          <w:p>
            <w:pPr>
              <w:pStyle w:val="64"/>
              <w:jc w:val="center"/>
            </w:pPr>
            <w:r>
              <w:rPr>
                <w:rFonts w:hint="eastAsia"/>
              </w:rPr>
              <w:t>[</w:t>
            </w:r>
            <w:r>
              <w:t>60-</w:t>
            </w:r>
            <w:r>
              <w:rPr>
                <w:rFonts w:hint="eastAsia"/>
              </w:rPr>
              <w:t>80)</w:t>
            </w:r>
          </w:p>
        </w:tc>
        <w:tc>
          <w:tcPr>
            <w:tcW w:w="1253" w:type="pct"/>
            <w:tcBorders>
              <w:tl2br w:val="nil"/>
              <w:tr2bl w:val="nil"/>
            </w:tcBorders>
            <w:vAlign w:val="center"/>
          </w:tcPr>
          <w:p>
            <w:pPr>
              <w:pStyle w:val="64"/>
              <w:jc w:val="center"/>
            </w:pPr>
            <w:r>
              <w:rPr>
                <w:rFonts w:hint="eastAsia"/>
              </w:rPr>
              <w:t>[</w:t>
            </w:r>
            <w:r>
              <w:t>80-</w:t>
            </w:r>
            <w:r>
              <w:rPr>
                <w:rFonts w:hint="eastAsia"/>
              </w:rPr>
              <w:t>90)</w:t>
            </w:r>
          </w:p>
        </w:tc>
        <w:tc>
          <w:tcPr>
            <w:tcW w:w="1252" w:type="pct"/>
            <w:tcBorders>
              <w:tl2br w:val="nil"/>
              <w:tr2bl w:val="nil"/>
            </w:tcBorders>
          </w:tcPr>
          <w:p>
            <w:pPr>
              <w:pStyle w:val="64"/>
              <w:jc w:val="center"/>
            </w:pPr>
            <w:r>
              <w:rPr>
                <w:rFonts w:hint="eastAsia"/>
              </w:rPr>
              <w:t>[90</w:t>
            </w:r>
            <w:r>
              <w:t>-</w:t>
            </w:r>
            <w:r>
              <w:rPr>
                <w:rFonts w:hint="eastAsia"/>
              </w:rPr>
              <w:t>100]</w:t>
            </w:r>
          </w:p>
        </w:tc>
      </w:tr>
    </w:tbl>
    <w:p>
      <w:pPr>
        <w:pStyle w:val="297"/>
        <w:numPr>
          <w:ilvl w:val="1"/>
          <w:numId w:val="33"/>
        </w:numPr>
        <w:spacing w:before="156" w:beforeLines="50" w:after="156" w:afterLines="50"/>
        <w:rPr>
          <w:rFonts w:hint="eastAsia" w:hAnsi="黑体" w:cs="Arial"/>
          <w:color w:val="000000" w:themeColor="text1"/>
          <w14:textFill>
            <w14:solidFill>
              <w14:schemeClr w14:val="tx1"/>
            </w14:solidFill>
          </w14:textFill>
        </w:rPr>
      </w:pPr>
      <w:bookmarkStart w:id="536" w:name="_Toc151494068"/>
      <w:bookmarkEnd w:id="536"/>
      <w:bookmarkStart w:id="537" w:name="_Toc151494554"/>
      <w:bookmarkEnd w:id="537"/>
      <w:bookmarkStart w:id="538" w:name="_Toc152871483"/>
      <w:bookmarkStart w:id="539" w:name="_Toc152871584"/>
      <w:bookmarkStart w:id="540" w:name="_Toc152786233"/>
      <w:bookmarkStart w:id="541" w:name="_Toc152919870"/>
      <w:bookmarkStart w:id="542" w:name="_Toc153186218"/>
      <w:r>
        <w:rPr>
          <w:rFonts w:hint="eastAsia" w:hAnsi="黑体" w:cs="Arial"/>
          <w:color w:val="000000" w:themeColor="text1"/>
          <w14:textFill>
            <w14:solidFill>
              <w14:schemeClr w14:val="tx1"/>
            </w14:solidFill>
          </w14:textFill>
        </w:rPr>
        <w:t>评价程序</w:t>
      </w:r>
      <w:bookmarkEnd w:id="538"/>
      <w:bookmarkEnd w:id="539"/>
      <w:bookmarkEnd w:id="540"/>
      <w:bookmarkEnd w:id="541"/>
      <w:bookmarkEnd w:id="542"/>
    </w:p>
    <w:p>
      <w:pPr>
        <w:pStyle w:val="297"/>
        <w:numPr>
          <w:ilvl w:val="2"/>
          <w:numId w:val="33"/>
        </w:numPr>
        <w:spacing w:before="156" w:beforeLines="50" w:after="156" w:afterLines="50"/>
        <w:rPr>
          <w:rFonts w:hint="eastAsia" w:hAnsi="黑体" w:cs="Arial"/>
          <w:color w:val="000000" w:themeColor="text1"/>
          <w14:textFill>
            <w14:solidFill>
              <w14:schemeClr w14:val="tx1"/>
            </w14:solidFill>
          </w14:textFill>
        </w:rPr>
      </w:pPr>
      <w:bookmarkStart w:id="543" w:name="_Toc151494070"/>
      <w:bookmarkStart w:id="544" w:name="_Toc153186219"/>
      <w:bookmarkStart w:id="545" w:name="_Toc144924204"/>
      <w:r>
        <w:rPr>
          <w:rFonts w:hint="eastAsia" w:hAnsi="黑体" w:cs="Arial"/>
          <w:color w:val="000000" w:themeColor="text1"/>
          <w14:textFill>
            <w14:solidFill>
              <w14:schemeClr w14:val="tx1"/>
            </w14:solidFill>
          </w14:textFill>
        </w:rPr>
        <w:t>评价时间</w:t>
      </w:r>
      <w:bookmarkEnd w:id="543"/>
      <w:bookmarkEnd w:id="544"/>
    </w:p>
    <w:p>
      <w:pPr>
        <w:pStyle w:val="15"/>
        <w:spacing w:after="0" w:line="240" w:lineRule="auto"/>
        <w:ind w:firstLine="420"/>
        <w:rPr>
          <w:rFonts w:hint="eastAsia" w:ascii="宋体" w:hAnsi="宋体" w:cs="宋体"/>
        </w:rPr>
      </w:pPr>
      <w:r>
        <w:rPr>
          <w:rFonts w:hint="eastAsia" w:ascii="宋体" w:hAnsi="宋体" w:cs="宋体"/>
        </w:rPr>
        <w:t>单次评价结果有效期为3年。有效期内，应对评价结果的保持情况进行监督，宜每年1次。</w:t>
      </w:r>
    </w:p>
    <w:p>
      <w:pPr>
        <w:pStyle w:val="15"/>
        <w:spacing w:after="0" w:line="240" w:lineRule="auto"/>
        <w:ind w:firstLine="420"/>
        <w:rPr>
          <w:rFonts w:hint="eastAsia" w:ascii="宋体" w:hAnsi="宋体" w:cs="宋体"/>
        </w:rPr>
      </w:pPr>
      <w:r>
        <w:rPr>
          <w:rFonts w:hint="eastAsia" w:ascii="宋体" w:hAnsi="宋体" w:cs="宋体"/>
        </w:rPr>
        <w:t>可开展评价的，评价工作宜于每年第一季度前开展。</w:t>
      </w:r>
    </w:p>
    <w:p>
      <w:pPr>
        <w:pStyle w:val="297"/>
        <w:numPr>
          <w:ilvl w:val="2"/>
          <w:numId w:val="33"/>
        </w:numPr>
        <w:spacing w:before="156" w:beforeLines="50" w:after="156" w:afterLines="50"/>
        <w:rPr>
          <w:rFonts w:hint="eastAsia" w:hAnsi="黑体" w:cs="Arial"/>
          <w:color w:val="000000" w:themeColor="text1"/>
          <w14:textFill>
            <w14:solidFill>
              <w14:schemeClr w14:val="tx1"/>
            </w14:solidFill>
          </w14:textFill>
        </w:rPr>
      </w:pPr>
      <w:bookmarkStart w:id="546" w:name="_Toc153186220"/>
      <w:bookmarkStart w:id="547" w:name="_Toc151494071"/>
      <w:r>
        <w:rPr>
          <w:rFonts w:hint="eastAsia" w:hAnsi="黑体" w:cs="Arial"/>
          <w:color w:val="000000" w:themeColor="text1"/>
          <w14:textFill>
            <w14:solidFill>
              <w14:schemeClr w14:val="tx1"/>
            </w14:solidFill>
          </w14:textFill>
        </w:rPr>
        <w:t>评价启动</w:t>
      </w:r>
      <w:bookmarkEnd w:id="545"/>
      <w:bookmarkEnd w:id="546"/>
      <w:bookmarkEnd w:id="547"/>
    </w:p>
    <w:p>
      <w:pPr>
        <w:pStyle w:val="297"/>
        <w:numPr>
          <w:ilvl w:val="3"/>
          <w:numId w:val="33"/>
        </w:numPr>
        <w:spacing w:before="156" w:beforeLines="50" w:after="156" w:afterLines="50"/>
        <w:rPr>
          <w:rFonts w:hint="eastAsia" w:hAnsi="黑体" w:cs="Arial"/>
          <w:color w:val="000000" w:themeColor="text1"/>
          <w14:textFill>
            <w14:solidFill>
              <w14:schemeClr w14:val="tx1"/>
            </w14:solidFill>
          </w14:textFill>
        </w:rPr>
      </w:pPr>
      <w:bookmarkStart w:id="548" w:name="_Toc151494072"/>
      <w:r>
        <w:rPr>
          <w:rFonts w:hint="eastAsia" w:hAnsi="黑体" w:cs="Arial"/>
          <w:color w:val="000000" w:themeColor="text1"/>
          <w14:textFill>
            <w14:solidFill>
              <w14:schemeClr w14:val="tx1"/>
            </w14:solidFill>
          </w14:textFill>
        </w:rPr>
        <w:t>成立评价组</w:t>
      </w:r>
      <w:bookmarkEnd w:id="548"/>
    </w:p>
    <w:p>
      <w:pPr>
        <w:pStyle w:val="15"/>
        <w:spacing w:after="0" w:line="240" w:lineRule="auto"/>
        <w:ind w:firstLine="420"/>
        <w:rPr>
          <w:rStyle w:val="94"/>
        </w:rPr>
      </w:pPr>
      <w:r>
        <w:rPr>
          <w:rStyle w:val="94"/>
          <w:rFonts w:hint="eastAsia"/>
        </w:rPr>
        <w:t>成立碳排放管理体系建设实施效果评价组，成员不少于5人，评价人数和天数视组织规模及碳排放总量和强度确定，应指定评价组中的一人担任组长，由评价组负责具体的评价工作。</w:t>
      </w:r>
    </w:p>
    <w:p>
      <w:pPr>
        <w:pStyle w:val="297"/>
        <w:numPr>
          <w:ilvl w:val="3"/>
          <w:numId w:val="33"/>
        </w:numPr>
        <w:spacing w:before="156" w:beforeLines="50" w:after="156" w:afterLines="50"/>
        <w:rPr>
          <w:rFonts w:hint="eastAsia" w:hAnsi="黑体" w:cs="Arial"/>
          <w:color w:val="000000" w:themeColor="text1"/>
          <w14:textFill>
            <w14:solidFill>
              <w14:schemeClr w14:val="tx1"/>
            </w14:solidFill>
          </w14:textFill>
        </w:rPr>
      </w:pPr>
      <w:bookmarkStart w:id="549" w:name="_Toc151494073"/>
      <w:r>
        <w:rPr>
          <w:rFonts w:hint="eastAsia" w:hAnsi="黑体" w:cs="Arial"/>
          <w:color w:val="000000" w:themeColor="text1"/>
          <w14:textFill>
            <w14:solidFill>
              <w14:schemeClr w14:val="tx1"/>
            </w14:solidFill>
          </w14:textFill>
        </w:rPr>
        <w:t>评价组成员要求</w:t>
      </w:r>
      <w:bookmarkEnd w:id="549"/>
    </w:p>
    <w:p>
      <w:pPr>
        <w:pStyle w:val="15"/>
        <w:spacing w:after="0" w:line="240" w:lineRule="auto"/>
        <w:ind w:firstLine="420"/>
      </w:pPr>
      <w:r>
        <w:rPr>
          <w:rFonts w:hint="eastAsia"/>
        </w:rPr>
        <w:t>评价组的成员应为来自于碳排放管理、低碳研究与实践等相关领域，其中具有高级技术职称的专家应不少于1人。</w:t>
      </w:r>
    </w:p>
    <w:p>
      <w:pPr>
        <w:pStyle w:val="297"/>
        <w:numPr>
          <w:ilvl w:val="3"/>
          <w:numId w:val="33"/>
        </w:numPr>
        <w:spacing w:before="156" w:beforeLines="50" w:after="156" w:afterLines="50"/>
        <w:rPr>
          <w:rFonts w:hint="eastAsia" w:hAnsi="黑体" w:cs="Arial"/>
          <w:color w:val="000000" w:themeColor="text1"/>
          <w14:textFill>
            <w14:solidFill>
              <w14:schemeClr w14:val="tx1"/>
            </w14:solidFill>
          </w14:textFill>
        </w:rPr>
      </w:pPr>
      <w:bookmarkStart w:id="550" w:name="_Toc151494074"/>
      <w:r>
        <w:rPr>
          <w:rFonts w:hint="eastAsia" w:hAnsi="黑体" w:cs="Arial"/>
          <w:color w:val="000000" w:themeColor="text1"/>
          <w14:textFill>
            <w14:solidFill>
              <w14:schemeClr w14:val="tx1"/>
            </w14:solidFill>
          </w14:textFill>
        </w:rPr>
        <w:t>工作计划</w:t>
      </w:r>
      <w:bookmarkEnd w:id="550"/>
    </w:p>
    <w:p>
      <w:pPr>
        <w:pStyle w:val="15"/>
        <w:spacing w:after="0" w:line="240" w:lineRule="auto"/>
        <w:ind w:firstLine="420"/>
        <w:rPr>
          <w:rFonts w:hint="eastAsia" w:ascii="黑体" w:hAnsi="黑体" w:eastAsia="黑体"/>
        </w:rPr>
      </w:pPr>
      <w:r>
        <w:rPr>
          <w:rFonts w:hint="eastAsia"/>
        </w:rPr>
        <w:t>编制评价工作计划应包括评价目的、评价准则、评价范围、评价活动和日程安排。</w:t>
      </w:r>
    </w:p>
    <w:p>
      <w:pPr>
        <w:pStyle w:val="297"/>
        <w:numPr>
          <w:ilvl w:val="2"/>
          <w:numId w:val="33"/>
        </w:numPr>
        <w:spacing w:before="156" w:beforeLines="50" w:after="156" w:afterLines="50"/>
        <w:rPr>
          <w:rFonts w:hint="eastAsia" w:hAnsi="黑体" w:cs="Arial"/>
          <w:color w:val="000000" w:themeColor="text1"/>
          <w14:textFill>
            <w14:solidFill>
              <w14:schemeClr w14:val="tx1"/>
            </w14:solidFill>
          </w14:textFill>
        </w:rPr>
      </w:pPr>
      <w:bookmarkStart w:id="551" w:name="_Toc153186221"/>
      <w:bookmarkStart w:id="552" w:name="_Toc144924205"/>
      <w:bookmarkStart w:id="553" w:name="_Toc151494075"/>
      <w:r>
        <w:rPr>
          <w:rFonts w:hint="eastAsia" w:hAnsi="黑体" w:cs="Arial"/>
          <w:color w:val="000000" w:themeColor="text1"/>
          <w14:textFill>
            <w14:solidFill>
              <w14:schemeClr w14:val="tx1"/>
            </w14:solidFill>
          </w14:textFill>
        </w:rPr>
        <w:t>评价实施</w:t>
      </w:r>
      <w:bookmarkEnd w:id="551"/>
      <w:bookmarkEnd w:id="552"/>
      <w:bookmarkEnd w:id="553"/>
    </w:p>
    <w:p>
      <w:pPr>
        <w:pStyle w:val="297"/>
        <w:numPr>
          <w:ilvl w:val="3"/>
          <w:numId w:val="33"/>
        </w:numPr>
        <w:spacing w:before="156" w:beforeLines="50" w:after="156" w:afterLines="50"/>
        <w:rPr>
          <w:rFonts w:hint="eastAsia" w:hAnsi="黑体" w:cs="Arial"/>
          <w:color w:val="000000" w:themeColor="text1"/>
          <w14:textFill>
            <w14:solidFill>
              <w14:schemeClr w14:val="tx1"/>
            </w14:solidFill>
          </w14:textFill>
        </w:rPr>
      </w:pPr>
      <w:bookmarkStart w:id="554" w:name="_Toc151494076"/>
      <w:r>
        <w:rPr>
          <w:rFonts w:hint="eastAsia" w:hAnsi="黑体" w:cs="Arial"/>
          <w:color w:val="000000" w:themeColor="text1"/>
          <w14:textFill>
            <w14:solidFill>
              <w14:schemeClr w14:val="tx1"/>
            </w14:solidFill>
          </w14:textFill>
        </w:rPr>
        <w:t>文件评价</w:t>
      </w:r>
      <w:bookmarkEnd w:id="554"/>
    </w:p>
    <w:p>
      <w:pPr>
        <w:pStyle w:val="15"/>
        <w:spacing w:after="0" w:line="240" w:lineRule="auto"/>
        <w:ind w:firstLine="420"/>
        <w:rPr>
          <w:rFonts w:hint="eastAsia" w:ascii="黑体" w:hAnsi="黑体" w:eastAsia="黑体"/>
        </w:rPr>
      </w:pPr>
      <w:r>
        <w:rPr>
          <w:rFonts w:hint="eastAsia"/>
        </w:rPr>
        <w:t>评价组应进行文件评价，并识别出现场评价需重点关注的问题。</w:t>
      </w:r>
    </w:p>
    <w:p>
      <w:pPr>
        <w:pStyle w:val="297"/>
        <w:numPr>
          <w:ilvl w:val="3"/>
          <w:numId w:val="33"/>
        </w:numPr>
        <w:spacing w:before="156" w:beforeLines="50" w:after="156" w:afterLines="50"/>
        <w:rPr>
          <w:rFonts w:hint="eastAsia" w:hAnsi="黑体" w:cs="Arial"/>
          <w:color w:val="000000" w:themeColor="text1"/>
          <w14:textFill>
            <w14:solidFill>
              <w14:schemeClr w14:val="tx1"/>
            </w14:solidFill>
          </w14:textFill>
        </w:rPr>
      </w:pPr>
      <w:bookmarkStart w:id="555" w:name="_Toc151494077"/>
      <w:r>
        <w:rPr>
          <w:rFonts w:hint="eastAsia" w:hAnsi="黑体" w:cs="Arial"/>
          <w:color w:val="000000" w:themeColor="text1"/>
          <w14:textFill>
            <w14:solidFill>
              <w14:schemeClr w14:val="tx1"/>
            </w14:solidFill>
          </w14:textFill>
        </w:rPr>
        <w:t>现场评价</w:t>
      </w:r>
      <w:bookmarkEnd w:id="555"/>
    </w:p>
    <w:p>
      <w:pPr>
        <w:pStyle w:val="15"/>
        <w:spacing w:after="0" w:line="240" w:lineRule="auto"/>
        <w:ind w:firstLine="420"/>
      </w:pPr>
      <w:r>
        <w:rPr>
          <w:rFonts w:hint="eastAsia"/>
        </w:rPr>
        <w:t>现场评价包括如下内容：</w:t>
      </w:r>
    </w:p>
    <w:p>
      <w:pPr>
        <w:pStyle w:val="182"/>
        <w:numPr>
          <w:ilvl w:val="0"/>
          <w:numId w:val="66"/>
        </w:numPr>
      </w:pPr>
      <w:r>
        <w:rPr>
          <w:rFonts w:hint="eastAsia"/>
        </w:rPr>
        <w:t>确定评价计划等事宜，介绍基本情况及碳排放管理体系建设实施成果；</w:t>
      </w:r>
    </w:p>
    <w:p>
      <w:pPr>
        <w:pStyle w:val="182"/>
      </w:pPr>
      <w:r>
        <w:rPr>
          <w:rFonts w:hint="eastAsia"/>
        </w:rPr>
        <w:t>查阅材料，材料应包括：</w:t>
      </w:r>
    </w:p>
    <w:p>
      <w:pPr>
        <w:pStyle w:val="182"/>
        <w:numPr>
          <w:ilvl w:val="0"/>
          <w:numId w:val="0"/>
        </w:numPr>
        <w:ind w:left="851"/>
      </w:pPr>
      <w:r>
        <w:rPr>
          <w:rFonts w:hint="eastAsia"/>
        </w:rPr>
        <w:t>——排放单位的基本情况介绍；</w:t>
      </w:r>
    </w:p>
    <w:p>
      <w:pPr>
        <w:pStyle w:val="182"/>
        <w:numPr>
          <w:ilvl w:val="0"/>
          <w:numId w:val="0"/>
        </w:numPr>
        <w:ind w:left="851"/>
      </w:pPr>
      <w:r>
        <w:rPr>
          <w:rFonts w:hint="eastAsia"/>
        </w:rPr>
        <w:t>——碳排放管理体系建设实施方案、实施成果；</w:t>
      </w:r>
    </w:p>
    <w:p>
      <w:pPr>
        <w:pStyle w:val="182"/>
        <w:numPr>
          <w:ilvl w:val="0"/>
          <w:numId w:val="0"/>
        </w:numPr>
        <w:ind w:left="851"/>
      </w:pPr>
      <w:r>
        <w:rPr>
          <w:rFonts w:hint="eastAsia"/>
        </w:rPr>
        <w:t>——碳排放管理数据统计信息及相关证明材料。</w:t>
      </w:r>
    </w:p>
    <w:p>
      <w:pPr>
        <w:pStyle w:val="182"/>
      </w:pPr>
      <w:r>
        <w:rPr>
          <w:rFonts w:hint="eastAsia"/>
        </w:rPr>
        <w:t>访谈相关人员；</w:t>
      </w:r>
    </w:p>
    <w:p>
      <w:pPr>
        <w:pStyle w:val="182"/>
      </w:pPr>
      <w:r>
        <w:rPr>
          <w:rFonts w:hint="eastAsia"/>
        </w:rPr>
        <w:t>现场查看相关排放设施；</w:t>
      </w:r>
    </w:p>
    <w:p>
      <w:pPr>
        <w:pStyle w:val="182"/>
      </w:pPr>
      <w:r>
        <w:rPr>
          <w:rFonts w:hint="eastAsia"/>
        </w:rPr>
        <w:t>召开总结会，内容包括：</w:t>
      </w:r>
    </w:p>
    <w:p>
      <w:pPr>
        <w:pStyle w:val="182"/>
        <w:numPr>
          <w:ilvl w:val="0"/>
          <w:numId w:val="0"/>
        </w:numPr>
        <w:ind w:left="851"/>
      </w:pPr>
      <w:r>
        <w:rPr>
          <w:rFonts w:hint="eastAsia"/>
        </w:rPr>
        <w:t>——确认评价结论；</w:t>
      </w:r>
    </w:p>
    <w:p>
      <w:pPr>
        <w:pStyle w:val="182"/>
        <w:numPr>
          <w:ilvl w:val="0"/>
          <w:numId w:val="0"/>
        </w:numPr>
        <w:ind w:left="851"/>
      </w:pPr>
      <w:r>
        <w:rPr>
          <w:rFonts w:hint="eastAsia"/>
        </w:rPr>
        <w:t>——陈述本次评价发现事项。</w:t>
      </w:r>
    </w:p>
    <w:p>
      <w:pPr>
        <w:pStyle w:val="297"/>
        <w:numPr>
          <w:ilvl w:val="3"/>
          <w:numId w:val="33"/>
        </w:numPr>
        <w:spacing w:before="156" w:beforeLines="50" w:after="156" w:afterLines="50"/>
        <w:rPr>
          <w:rFonts w:hint="eastAsia" w:hAnsi="黑体" w:cs="Arial"/>
          <w:color w:val="000000" w:themeColor="text1"/>
          <w14:textFill>
            <w14:solidFill>
              <w14:schemeClr w14:val="tx1"/>
            </w14:solidFill>
          </w14:textFill>
        </w:rPr>
      </w:pPr>
      <w:bookmarkStart w:id="556" w:name="_Toc151494078"/>
      <w:r>
        <w:rPr>
          <w:rFonts w:hint="eastAsia" w:hAnsi="黑体" w:cs="Arial"/>
          <w:color w:val="000000" w:themeColor="text1"/>
          <w14:textFill>
            <w14:solidFill>
              <w14:schemeClr w14:val="tx1"/>
            </w14:solidFill>
          </w14:textFill>
        </w:rPr>
        <w:t>评价报告</w:t>
      </w:r>
      <w:bookmarkEnd w:id="556"/>
    </w:p>
    <w:p>
      <w:pPr>
        <w:pStyle w:val="15"/>
        <w:spacing w:after="0" w:line="240" w:lineRule="auto"/>
        <w:ind w:firstLine="420"/>
      </w:pPr>
      <w:r>
        <w:rPr>
          <w:rFonts w:hint="eastAsia"/>
        </w:rPr>
        <w:t>评价报告编写大纲及报告格式示例参见附录</w:t>
      </w:r>
      <w:r>
        <w:rPr>
          <w:rFonts w:hint="eastAsia" w:ascii="宋体" w:hAnsi="宋体" w:cs="宋体"/>
        </w:rPr>
        <w:t>B</w:t>
      </w:r>
      <w:r>
        <w:rPr>
          <w:rFonts w:hint="eastAsia"/>
        </w:rPr>
        <w:t>。</w:t>
      </w:r>
    </w:p>
    <w:p>
      <w:pPr>
        <w:pStyle w:val="64"/>
        <w:sectPr>
          <w:footerReference r:id="rId14" w:type="default"/>
          <w:headerReference r:id="rId13" w:type="even"/>
          <w:footerReference r:id="rId15" w:type="even"/>
          <w:pgSz w:w="11905" w:h="16838"/>
          <w:pgMar w:top="1928" w:right="1134" w:bottom="1134" w:left="1134" w:header="1417" w:footer="1134" w:gutter="283"/>
          <w:pgNumType w:start="1"/>
          <w:cols w:space="0" w:num="1"/>
          <w:formProt w:val="0"/>
          <w:docGrid w:type="lines" w:linePitch="312" w:charSpace="0"/>
        </w:sectPr>
      </w:pPr>
    </w:p>
    <w:bookmarkEnd w:id="23"/>
    <w:p>
      <w:pPr>
        <w:pStyle w:val="206"/>
        <w:rPr>
          <w:rFonts w:hint="eastAsia"/>
        </w:rPr>
      </w:pPr>
      <w:bookmarkStart w:id="557" w:name="BookMark5"/>
    </w:p>
    <w:p>
      <w:pPr>
        <w:pStyle w:val="207"/>
      </w:pPr>
    </w:p>
    <w:p>
      <w:pPr>
        <w:pStyle w:val="84"/>
        <w:spacing w:after="156"/>
        <w:rPr>
          <w:rFonts w:hint="eastAsia" w:hAnsi="黑体" w:cs="黑体"/>
        </w:rPr>
      </w:pPr>
      <w:r>
        <w:rPr>
          <w:rFonts w:hint="eastAsia" w:hAnsi="黑体" w:cs="黑体"/>
        </w:rPr>
        <w:t>附 录 A</w:t>
      </w:r>
      <w:bookmarkStart w:id="558" w:name="_Toc110619483"/>
      <w:bookmarkStart w:id="559" w:name="_Toc110619316"/>
      <w:bookmarkStart w:id="560" w:name="_Toc144924209"/>
      <w:bookmarkStart w:id="561" w:name="_Toc151494079"/>
      <w:bookmarkStart w:id="562" w:name="_Toc153186222"/>
    </w:p>
    <w:p>
      <w:pPr>
        <w:widowControl/>
        <w:adjustRightInd/>
        <w:spacing w:line="300" w:lineRule="auto"/>
        <w:jc w:val="center"/>
        <w:rPr>
          <w:rFonts w:hint="eastAsia" w:ascii="黑体" w:hAnsi="黑体" w:eastAsia="黑体" w:cs="黑体"/>
        </w:rPr>
      </w:pPr>
      <w:r>
        <w:rPr>
          <w:rFonts w:hint="eastAsia" w:ascii="黑体" w:hAnsi="黑体" w:eastAsia="黑体" w:cs="黑体"/>
        </w:rPr>
        <w:t>（规范性）</w:t>
      </w:r>
      <w:bookmarkEnd w:id="558"/>
      <w:bookmarkEnd w:id="559"/>
    </w:p>
    <w:p>
      <w:pPr>
        <w:widowControl/>
        <w:adjustRightInd/>
        <w:spacing w:line="300" w:lineRule="auto"/>
        <w:jc w:val="center"/>
        <w:rPr>
          <w:rFonts w:hint="eastAsia" w:ascii="黑体" w:hAnsi="黑体" w:eastAsia="黑体" w:cs="黑体"/>
        </w:rPr>
      </w:pPr>
      <w:r>
        <w:rPr>
          <w:rFonts w:hint="eastAsia" w:ascii="黑体" w:hAnsi="黑体" w:eastAsia="黑体" w:cs="黑体"/>
        </w:rPr>
        <w:t>碳排放管理体系建设与评价指南的评价指标评分细则</w:t>
      </w:r>
      <w:bookmarkEnd w:id="560"/>
      <w:bookmarkEnd w:id="561"/>
      <w:bookmarkEnd w:id="562"/>
    </w:p>
    <w:p>
      <w:pPr>
        <w:pStyle w:val="86"/>
        <w:spacing w:before="156" w:after="156"/>
      </w:pPr>
      <w:bookmarkStart w:id="563" w:name="_Toc151494080"/>
      <w:bookmarkStart w:id="564" w:name="_Toc153186223"/>
      <w:bookmarkStart w:id="565" w:name="_Toc144924210"/>
      <w:r>
        <w:rPr>
          <w:rFonts w:hint="eastAsia"/>
        </w:rPr>
        <w:t>定性评价指标评分细则</w:t>
      </w:r>
      <w:bookmarkEnd w:id="563"/>
      <w:bookmarkEnd w:id="564"/>
      <w:bookmarkEnd w:id="565"/>
    </w:p>
    <w:p>
      <w:pPr>
        <w:pStyle w:val="15"/>
        <w:ind w:firstLine="420" w:firstLineChars="200"/>
      </w:pPr>
      <w:r>
        <w:t>表</w:t>
      </w:r>
      <w:r>
        <w:rPr>
          <w:rFonts w:hint="eastAsia" w:ascii="宋体" w:hAnsi="宋体" w:cs="宋体"/>
        </w:rPr>
        <w:t>A.1</w:t>
      </w:r>
      <w:r>
        <w:t>给出了</w:t>
      </w:r>
      <w:r>
        <w:rPr>
          <w:rFonts w:hint="eastAsia"/>
        </w:rPr>
        <w:t>定性评价指标评分细则</w:t>
      </w:r>
      <w:r>
        <w:t>表。</w:t>
      </w:r>
    </w:p>
    <w:p>
      <w:pPr>
        <w:pStyle w:val="85"/>
        <w:spacing w:before="156" w:after="156"/>
        <w:ind w:left="0"/>
      </w:pPr>
      <w:r>
        <w:rPr>
          <w:rFonts w:hint="eastAsia"/>
        </w:rPr>
        <w:t>定性评价指标评分细则表</w:t>
      </w:r>
    </w:p>
    <w:tbl>
      <w:tblPr>
        <w:tblStyle w:val="33"/>
        <w:tblpPr w:leftFromText="180" w:rightFromText="180" w:vertAnchor="text" w:tblpXSpec="center" w:tblpY="1"/>
        <w:tblOverlap w:val="never"/>
        <w:tblW w:w="46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11"/>
        <w:gridCol w:w="687"/>
        <w:gridCol w:w="1130"/>
        <w:gridCol w:w="4558"/>
        <w:gridCol w:w="898"/>
        <w:gridCol w:w="599"/>
        <w:gridCol w:w="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0" w:hRule="atLeast"/>
          <w:tblHeader/>
          <w:jc w:val="center"/>
        </w:trPr>
        <w:tc>
          <w:tcPr>
            <w:tcW w:w="229" w:type="pct"/>
            <w:tcBorders>
              <w:bottom w:val="single" w:color="000000" w:sz="12" w:space="0"/>
              <w:tl2br w:val="nil"/>
              <w:tr2bl w:val="nil"/>
            </w:tcBorders>
            <w:shd w:val="clear" w:color="auto" w:fill="auto"/>
            <w:vAlign w:val="center"/>
          </w:tcPr>
          <w:p>
            <w:pPr>
              <w:jc w:val="center"/>
              <w:rPr>
                <w:rFonts w:hint="eastAsia" w:ascii="宋体" w:hAnsi="宋体" w:cs="宋体"/>
                <w:sz w:val="18"/>
                <w:szCs w:val="18"/>
              </w:rPr>
            </w:pPr>
            <w:bookmarkStart w:id="566" w:name="_Hlk152866184"/>
            <w:r>
              <w:rPr>
                <w:rFonts w:hint="eastAsia" w:ascii="宋体" w:hAnsi="宋体" w:cs="宋体"/>
                <w:sz w:val="18"/>
                <w:szCs w:val="18"/>
              </w:rPr>
              <w:t>序号</w:t>
            </w:r>
          </w:p>
        </w:tc>
        <w:tc>
          <w:tcPr>
            <w:tcW w:w="382" w:type="pct"/>
            <w:tcBorders>
              <w:bottom w:val="single" w:color="000000" w:sz="12" w:space="0"/>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一级指标</w:t>
            </w:r>
          </w:p>
        </w:tc>
        <w:tc>
          <w:tcPr>
            <w:tcW w:w="628" w:type="pct"/>
            <w:tcBorders>
              <w:bottom w:val="single" w:color="000000" w:sz="12" w:space="0"/>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二级指标</w:t>
            </w:r>
          </w:p>
        </w:tc>
        <w:tc>
          <w:tcPr>
            <w:tcW w:w="2533" w:type="pct"/>
            <w:tcBorders>
              <w:bottom w:val="single" w:color="000000" w:sz="12" w:space="0"/>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评分细则</w:t>
            </w:r>
          </w:p>
        </w:tc>
        <w:tc>
          <w:tcPr>
            <w:tcW w:w="499" w:type="pct"/>
            <w:tcBorders>
              <w:bottom w:val="single" w:color="000000" w:sz="12" w:space="0"/>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实际得分情况</w:t>
            </w:r>
          </w:p>
        </w:tc>
        <w:tc>
          <w:tcPr>
            <w:tcW w:w="333" w:type="pct"/>
            <w:tcBorders>
              <w:bottom w:val="single" w:color="000000" w:sz="12" w:space="0"/>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分值</w:t>
            </w:r>
          </w:p>
        </w:tc>
        <w:tc>
          <w:tcPr>
            <w:tcW w:w="394" w:type="pct"/>
            <w:tcBorders>
              <w:bottom w:val="single" w:color="000000" w:sz="12" w:space="0"/>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满分分值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229" w:type="pct"/>
            <w:vMerge w:val="restart"/>
            <w:tcBorders>
              <w:top w:val="single" w:color="000000" w:sz="12" w:space="0"/>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82" w:type="pct"/>
            <w:vMerge w:val="restart"/>
            <w:tcBorders>
              <w:top w:val="single" w:color="000000" w:sz="12" w:space="0"/>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组织所处的环境</w:t>
            </w:r>
          </w:p>
        </w:tc>
        <w:tc>
          <w:tcPr>
            <w:tcW w:w="628" w:type="pct"/>
            <w:tcBorders>
              <w:top w:val="single" w:color="000000" w:sz="12" w:space="0"/>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组织及其所处环境</w:t>
            </w:r>
          </w:p>
        </w:tc>
        <w:tc>
          <w:tcPr>
            <w:tcW w:w="2533" w:type="pct"/>
            <w:tcBorders>
              <w:top w:val="single" w:color="000000" w:sz="12" w:space="0"/>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确定与其宗旨相关并影响其实现碳排放管理体系预期结果和改进碳排放绩效的能力的外部和内部问题。</w:t>
            </w:r>
          </w:p>
        </w:tc>
        <w:tc>
          <w:tcPr>
            <w:tcW w:w="499" w:type="pct"/>
            <w:tcBorders>
              <w:top w:val="single" w:color="000000" w:sz="12" w:space="0"/>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op w:val="single" w:color="000000" w:sz="12" w:space="0"/>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vMerge w:val="restart"/>
            <w:tcBorders>
              <w:top w:val="single" w:color="000000" w:sz="12" w:space="0"/>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相关方的需求和期望</w:t>
            </w:r>
          </w:p>
        </w:tc>
        <w:tc>
          <w:tcPr>
            <w:tcW w:w="2533" w:type="pct"/>
            <w:vMerge w:val="restar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厘清与碳排放管理体系有关的相关方及需求，通过建立并实施碳排放管理体系满足的需求、期望及合规义务需求。</w:t>
            </w:r>
          </w:p>
        </w:tc>
        <w:tc>
          <w:tcPr>
            <w:tcW w:w="499"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vMerge w:val="continue"/>
            <w:tcBorders>
              <w:tl2br w:val="nil"/>
              <w:tr2bl w:val="nil"/>
            </w:tcBorders>
            <w:shd w:val="clear" w:color="auto" w:fill="auto"/>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vMerge w:val="continue"/>
            <w:tcBorders>
              <w:tl2br w:val="nil"/>
              <w:tr2bl w:val="nil"/>
            </w:tcBorders>
            <w:vAlign w:val="center"/>
          </w:tcPr>
          <w:p>
            <w:pPr>
              <w:jc w:val="left"/>
              <w:rPr>
                <w:rFonts w:hint="eastAsia" w:ascii="宋体" w:hAnsi="宋体" w:cs="宋体"/>
                <w:sz w:val="18"/>
                <w:szCs w:val="18"/>
              </w:rPr>
            </w:pPr>
          </w:p>
        </w:tc>
        <w:tc>
          <w:tcPr>
            <w:tcW w:w="499" w:type="pct"/>
            <w:vMerge w:val="continue"/>
            <w:tcBorders>
              <w:tl2br w:val="nil"/>
              <w:tr2bl w:val="nil"/>
            </w:tcBorders>
            <w:vAlign w:val="center"/>
          </w:tcPr>
          <w:p>
            <w:pPr>
              <w:jc w:val="center"/>
              <w:rPr>
                <w:rFonts w:hint="eastAsia" w:ascii="宋体" w:hAnsi="宋体" w:cs="宋体"/>
                <w:sz w:val="18"/>
                <w:szCs w:val="18"/>
              </w:rPr>
            </w:pPr>
          </w:p>
        </w:tc>
        <w:tc>
          <w:tcPr>
            <w:tcW w:w="333" w:type="pct"/>
            <w:vMerge w:val="continue"/>
            <w:tcBorders>
              <w:tl2br w:val="nil"/>
              <w:tr2bl w:val="nil"/>
            </w:tcBorders>
            <w:vAlign w:val="center"/>
          </w:tcPr>
          <w:p>
            <w:pPr>
              <w:jc w:val="center"/>
              <w:rPr>
                <w:rFonts w:hint="eastAsia" w:ascii="宋体" w:hAnsi="宋体" w:cs="宋体"/>
                <w:sz w:val="18"/>
                <w:szCs w:val="18"/>
              </w:rPr>
            </w:pP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确定碳排放管理体系的范围</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确定碳排放管理体系的组织边界和范围。</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shd w:val="clear" w:color="auto" w:fill="auto"/>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建设碳排放管理体系</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依照本文件的要求，策划、支持、运行、绩效评价、改进碳排放管理体系。</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shd w:val="clear" w:color="auto" w:fill="auto"/>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9"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82"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领导作用</w:t>
            </w: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领导作用和承诺</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1.任命管理者代表，批准组建碳排放管理团队；</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29" w:type="pct"/>
            <w:vMerge w:val="continue"/>
            <w:tcBorders>
              <w:tl2br w:val="nil"/>
              <w:tr2bl w:val="nil"/>
            </w:tcBorders>
            <w:shd w:val="clear" w:color="auto" w:fill="auto"/>
            <w:vAlign w:val="center"/>
          </w:tcPr>
          <w:p>
            <w:pPr>
              <w:jc w:val="center"/>
              <w:rPr>
                <w:rFonts w:hint="eastAsia" w:ascii="宋体" w:hAnsi="宋体" w:cs="宋体"/>
                <w:sz w:val="18"/>
                <w:szCs w:val="18"/>
              </w:rPr>
            </w:pPr>
          </w:p>
        </w:tc>
        <w:tc>
          <w:tcPr>
            <w:tcW w:w="382" w:type="pct"/>
            <w:vMerge w:val="continue"/>
            <w:tcBorders>
              <w:tl2br w:val="nil"/>
              <w:tr2bl w:val="nil"/>
            </w:tcBorders>
            <w:shd w:val="clear" w:color="auto" w:fill="auto"/>
            <w:vAlign w:val="center"/>
          </w:tcPr>
          <w:p>
            <w:pPr>
              <w:jc w:val="center"/>
              <w:rPr>
                <w:rFonts w:hint="eastAsia" w:ascii="宋体" w:hAnsi="宋体" w:cs="宋体"/>
                <w:sz w:val="18"/>
                <w:szCs w:val="18"/>
              </w:rPr>
            </w:pPr>
          </w:p>
        </w:tc>
        <w:tc>
          <w:tcPr>
            <w:tcW w:w="628" w:type="pct"/>
            <w:vMerge w:val="continue"/>
            <w:tcBorders>
              <w:tl2br w:val="nil"/>
              <w:tr2bl w:val="nil"/>
            </w:tcBorders>
            <w:shd w:val="clear" w:color="auto" w:fill="auto"/>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2.提供碳排放管理体系建设、管理、保持和持续改进所需要的资源；</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vMerge w:val="continue"/>
            <w:tcBorders>
              <w:tl2br w:val="nil"/>
              <w:tr2bl w:val="nil"/>
            </w:tcBorders>
            <w:shd w:val="clear" w:color="auto" w:fill="auto"/>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3.参与碳排放管理体系的方针、目标、指标范围和边界的确定并形成文件；</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4.参与实施碳排放绩效评价，促进持续改进。</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碳排放管理方针</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1.碳排放管理方针应包含履行其合规义务的、碳达峰碳中和的、满足适用要求等的内容；</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shd w:val="clear" w:color="auto" w:fill="auto"/>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2.形成文件，在内部不同层面沟通传达并以文件化信息形式保存。</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shd w:val="clear" w:color="auto" w:fill="auto"/>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组织的角色、职责和权限</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1.在最高管理者的直接管理或授权下，明确碳排放管理团队内部的职责和权限；</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2.成立碳排放管理团队，可成立专门的碳排放管理部门、聘请外部机构等；</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3.明确碳排放管理团队在建设、管理、保持和持续改进碳排放管理体系的职责。</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9"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3</w:t>
            </w:r>
          </w:p>
        </w:tc>
        <w:tc>
          <w:tcPr>
            <w:tcW w:w="382"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策划</w:t>
            </w: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应对风险和机遇的措施</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1.识别碳排放管理中潜在的风险和机遇并列明应对措施；</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2．形成文件，在内部不同层面得到沟通传达并以文件化信息形式保存。</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碳排放管理目标及实现的策划</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1．按照时间进度要求，建立碳排放量及碳排放强度的目标，碳排放目标和指标应与碳排放方针保持一致；</w:t>
            </w:r>
          </w:p>
          <w:p>
            <w:pPr>
              <w:jc w:val="left"/>
              <w:rPr>
                <w:rFonts w:hint="eastAsia" w:ascii="宋体" w:hAnsi="宋体" w:cs="宋体"/>
                <w:sz w:val="18"/>
                <w:szCs w:val="18"/>
              </w:rPr>
            </w:pPr>
            <w:r>
              <w:rPr>
                <w:rFonts w:hint="eastAsia" w:ascii="宋体" w:hAnsi="宋体" w:cs="宋体"/>
                <w:sz w:val="18"/>
                <w:szCs w:val="18"/>
              </w:rPr>
              <w:t>（已设立科学碳目标的组织直接得分）</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2.考虑法律法规、主要碳排放源、改进碳排放绩效的机会、其他因素和相关方意见。</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碳排放评估</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1.组织应确定准则和方法，以确保将法律法规及其他要求用于碳排放管理活动中，并确保在建立、实施和保持碳排放管理体系时考虑要求；</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shd w:val="clear" w:color="auto" w:fill="auto"/>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2.碳排放单位应在规定时间间隔内或本组织发生重大变化时更新碳排放评估。</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vMerge w:val="continue"/>
            <w:tcBorders>
              <w:tl2br w:val="nil"/>
              <w:tr2bl w:val="nil"/>
            </w:tcBorders>
            <w:shd w:val="clear" w:color="auto" w:fill="auto"/>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碳排放源</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识别并确定温室气体排放源并加以分类，以及影响排放的因素。</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碳排放绩效参数</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1.确定碳排放管理绩效参数、制定监测和测量其的方法、论证参数先进值情况；</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2.列明碳排放管理绩效的相关数据种类及实施收集的途径、频次、方法，并形成文件。</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基准年</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设立本组织的基准年，解释论述基准年设置的参考依据。</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碳排放管理数据收集的策划</w:t>
            </w:r>
          </w:p>
        </w:tc>
        <w:tc>
          <w:tcPr>
            <w:tcW w:w="2533" w:type="pct"/>
            <w:vMerge w:val="restar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制定碳排放管理数据收集计划并定期进行数据采集并确定数据收集的途径、频次、方法。</w:t>
            </w:r>
          </w:p>
        </w:tc>
        <w:tc>
          <w:tcPr>
            <w:tcW w:w="499"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vMerge w:val="continue"/>
            <w:tcBorders>
              <w:tl2br w:val="nil"/>
              <w:tr2bl w:val="nil"/>
            </w:tcBorders>
            <w:vAlign w:val="center"/>
          </w:tcPr>
          <w:p>
            <w:pPr>
              <w:jc w:val="left"/>
              <w:rPr>
                <w:rFonts w:hint="eastAsia" w:ascii="宋体" w:hAnsi="宋体" w:cs="宋体"/>
                <w:sz w:val="18"/>
                <w:szCs w:val="18"/>
              </w:rPr>
            </w:pPr>
          </w:p>
        </w:tc>
        <w:tc>
          <w:tcPr>
            <w:tcW w:w="499" w:type="pct"/>
            <w:vMerge w:val="continue"/>
            <w:tcBorders>
              <w:tl2br w:val="nil"/>
              <w:tr2bl w:val="nil"/>
            </w:tcBorders>
            <w:vAlign w:val="center"/>
          </w:tcPr>
          <w:p>
            <w:pPr>
              <w:jc w:val="center"/>
              <w:rPr>
                <w:rFonts w:hint="eastAsia" w:ascii="宋体" w:hAnsi="宋体" w:cs="宋体"/>
                <w:sz w:val="18"/>
                <w:szCs w:val="18"/>
              </w:rPr>
            </w:pPr>
          </w:p>
        </w:tc>
        <w:tc>
          <w:tcPr>
            <w:tcW w:w="333" w:type="pct"/>
            <w:vMerge w:val="continue"/>
            <w:tcBorders>
              <w:tl2br w:val="nil"/>
              <w:tr2bl w:val="nil"/>
            </w:tcBorders>
            <w:vAlign w:val="center"/>
          </w:tcPr>
          <w:p>
            <w:pPr>
              <w:jc w:val="center"/>
              <w:rPr>
                <w:rFonts w:hint="eastAsia" w:ascii="宋体" w:hAnsi="宋体" w:cs="宋体"/>
                <w:sz w:val="18"/>
                <w:szCs w:val="18"/>
              </w:rPr>
            </w:pP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合规义务</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 遵守碳排放管理相关的法律法规或要求，组织应确定准则和方法，以确保将法律法规及其他要求用于碳排放管理活动中，并确保在建立、实施和保持碳排放管理体系时考虑合规义务要求；</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2.碳排放单位应在规定时间间隔内评审法律法规和其他要求。</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变更的策划</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根据变更需求制定变更策划。</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9"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4</w:t>
            </w:r>
          </w:p>
        </w:tc>
        <w:tc>
          <w:tcPr>
            <w:tcW w:w="382"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支持</w:t>
            </w: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文件和记录</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1.建立必要的文件化信息，对碳排放管理体系的范围与边界，碳排放方针与目标、实施方案等进行记录和保存，并对保存时效作出规定；</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2.定期更新文件化信息，定期评审和更改标识，识别外来和过期文件等。</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能力和意识</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1.组织应对主要碳排放管理相关的人员进行教育、培训、技能或经验方面的考察和聘用；</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2.组织应识别与主要碳排放源使用及与碳排放管理体系管理过程中有关的培训需求；</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3.增加对碳排放管理人员的专业要求；</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4.采取措施增强员工意识，加大碳减排宣传力度或执行考核制度。</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资源配置</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1.配备具有双碳相关专业知识或工作经验的人员；</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2.配备碳排放管理的设施并提供资金或技术支持。</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碳排放信息交流</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开展与碳排放有关的信息交流，定期与外界开展相关信息交流等，并将决定形成文件。</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 w:hRule="atLeast"/>
          <w:jc w:val="center"/>
        </w:trPr>
        <w:tc>
          <w:tcPr>
            <w:tcW w:w="229"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5</w:t>
            </w:r>
          </w:p>
        </w:tc>
        <w:tc>
          <w:tcPr>
            <w:tcW w:w="382"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运行</w:t>
            </w:r>
          </w:p>
        </w:tc>
        <w:tc>
          <w:tcPr>
            <w:tcW w:w="628"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设计</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针对新建和改进设施、设备、系统和过程的设计活动时应考虑其碳排放绩效对组织碳排放的影响。</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采购控制</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1.建立文件化的服务、产品、设备、能源采购规范；</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2.建立采购制度和方案，采购时应考虑绿色低碳等方面因素；</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3.建立合格供应商名单。</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运行控制</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1.建立并保持有效的数据质量控制要求，包括对活动水平和排放因子等数据的收集、记录、传递、汇总和报告的要求；</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2.建立和设置有效控制碳排放的准则，防止因缺乏该准则而导致的碳排放管理绩效的严重偏离。</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碳排放核算与报告</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1.将有关核算和报告的活动及记录形成文件；</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2.按照规定定期提交碳排放核算报告和核查报告。</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碳资产管理</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设立专员负责碳配额和碳排放权交易的管理；若组织属于全国碳市场或深圳碳市场的重点排放单位行列应建立、实施和保持碳排放配额管理程序，采取合理的方式实现碳排放履约；明确履约方式并密切关注履约期碳市场情况；</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2.建立碳金融管理体系，设立专员负责碳金融管理或对接第三方碳金融服务机构开展相关业务。</w:t>
            </w:r>
          </w:p>
          <w:p>
            <w:pPr>
              <w:jc w:val="left"/>
              <w:rPr>
                <w:rFonts w:hint="eastAsia" w:ascii="宋体" w:hAnsi="宋体" w:cs="宋体"/>
                <w:sz w:val="18"/>
                <w:szCs w:val="18"/>
              </w:rPr>
            </w:pPr>
            <w:r>
              <w:rPr>
                <w:rFonts w:hint="eastAsia" w:ascii="宋体" w:hAnsi="宋体" w:cs="宋体"/>
                <w:sz w:val="18"/>
                <w:szCs w:val="18"/>
              </w:rPr>
              <w:t>（非履约组织仅参与此处评价，满分分值为4分）</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229"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6</w:t>
            </w:r>
          </w:p>
        </w:tc>
        <w:tc>
          <w:tcPr>
            <w:tcW w:w="382"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绩效评价</w:t>
            </w: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监测、测量、分析和评价</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1.保存监测、测量关键特性记录如碳排放活动水平数据、主要碳排放因子、碳排放绩效参数等；</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2.测量计划应与组织的规模、复杂程度及监测和测量设备相适应；</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3.定期对监测设备检定或校准，确保用于监测和测量关键特性的设备提供的数据是准确的、可重现的；</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4．调查碳排放绩效中的重大偏差，并采取应对措施。</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内部审核</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1.定期进行内部审核，确保碳排放目标、方针、绩效参数等符合碳排放管理计划和本文件的要求；</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2.考虑审核合理制定内审方案和计划，应记录内部审核的结果并向最高管理者汇报。</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管理评审</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1.定期开展管理评审，管理评审的输入信息包括以往管理评审的后续措施以及对下一阶段碳排放管理绩效的规划、改进建议等方面的内容；</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4</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2.根据管理评审结果进行碳排放管理实施方案的调整，评审结果将作为组织碳排放管理体系建设和运行的阶段性成果证明。</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4</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29"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7</w:t>
            </w:r>
          </w:p>
        </w:tc>
        <w:tc>
          <w:tcPr>
            <w:tcW w:w="382"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改进</w:t>
            </w:r>
          </w:p>
        </w:tc>
        <w:tc>
          <w:tcPr>
            <w:tcW w:w="628"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不符合及纠正措施</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1.通过纠正措施和预防措施来识别和处理实际的或潜在的不符合；</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restar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vMerge w:val="continue"/>
            <w:tcBorders>
              <w:tl2br w:val="nil"/>
              <w:tr2bl w:val="nil"/>
            </w:tcBorders>
            <w:vAlign w:val="center"/>
          </w:tcPr>
          <w:p>
            <w:pPr>
              <w:jc w:val="center"/>
              <w:rPr>
                <w:rFonts w:hint="eastAsia" w:ascii="宋体" w:hAnsi="宋体" w:cs="宋体"/>
                <w:sz w:val="18"/>
                <w:szCs w:val="18"/>
              </w:rPr>
            </w:pP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2.纠正措施和预防措施应与实际的或潜在问题的严重程度以及碳排放绩效结果相适应。</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vMerge w:val="continue"/>
            <w:tcBorders>
              <w:tl2br w:val="nil"/>
              <w:tr2bl w:val="nil"/>
            </w:tcBorders>
            <w:vAlign w:val="center"/>
          </w:tcPr>
          <w:p>
            <w:pPr>
              <w:jc w:val="center"/>
              <w:rPr>
                <w:rFonts w:hint="eastAsia"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9" w:type="pct"/>
            <w:vMerge w:val="continue"/>
            <w:tcBorders>
              <w:tl2br w:val="nil"/>
              <w:tr2bl w:val="nil"/>
            </w:tcBorders>
            <w:vAlign w:val="center"/>
          </w:tcPr>
          <w:p>
            <w:pPr>
              <w:jc w:val="center"/>
              <w:rPr>
                <w:rFonts w:hint="eastAsia" w:ascii="宋体" w:hAnsi="宋体" w:cs="宋体"/>
                <w:sz w:val="18"/>
                <w:szCs w:val="18"/>
              </w:rPr>
            </w:pPr>
          </w:p>
        </w:tc>
        <w:tc>
          <w:tcPr>
            <w:tcW w:w="382" w:type="pct"/>
            <w:vMerge w:val="continue"/>
            <w:tcBorders>
              <w:tl2br w:val="nil"/>
              <w:tr2bl w:val="nil"/>
            </w:tcBorders>
            <w:vAlign w:val="center"/>
          </w:tcPr>
          <w:p>
            <w:pPr>
              <w:jc w:val="center"/>
              <w:rPr>
                <w:rFonts w:hint="eastAsia" w:ascii="宋体" w:hAnsi="宋体" w:cs="宋体"/>
                <w:sz w:val="18"/>
                <w:szCs w:val="18"/>
              </w:rPr>
            </w:pPr>
          </w:p>
        </w:tc>
        <w:tc>
          <w:tcPr>
            <w:tcW w:w="628"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持续改进</w:t>
            </w:r>
          </w:p>
        </w:tc>
        <w:tc>
          <w:tcPr>
            <w:tcW w:w="2533" w:type="pct"/>
            <w:tcBorders>
              <w:tl2br w:val="nil"/>
              <w:tr2bl w:val="nil"/>
            </w:tcBorders>
            <w:shd w:val="clear" w:color="auto" w:fill="auto"/>
            <w:vAlign w:val="center"/>
          </w:tcPr>
          <w:p>
            <w:pPr>
              <w:jc w:val="left"/>
              <w:rPr>
                <w:rFonts w:hint="eastAsia" w:ascii="宋体" w:hAnsi="宋体" w:cs="宋体"/>
                <w:sz w:val="18"/>
                <w:szCs w:val="18"/>
              </w:rPr>
            </w:pPr>
            <w:r>
              <w:rPr>
                <w:rFonts w:hint="eastAsia" w:ascii="宋体" w:hAnsi="宋体" w:cs="宋体"/>
                <w:sz w:val="18"/>
                <w:szCs w:val="18"/>
              </w:rPr>
              <w:t>持续改进碳排放管理体系。</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c>
          <w:tcPr>
            <w:tcW w:w="394"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3773" w:type="pct"/>
            <w:gridSpan w:val="4"/>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总分</w:t>
            </w:r>
          </w:p>
        </w:tc>
        <w:tc>
          <w:tcPr>
            <w:tcW w:w="499"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w:t>
            </w:r>
          </w:p>
        </w:tc>
        <w:tc>
          <w:tcPr>
            <w:tcW w:w="333"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100</w:t>
            </w:r>
          </w:p>
        </w:tc>
        <w:tc>
          <w:tcPr>
            <w:tcW w:w="394" w:type="pct"/>
            <w:tcBorders>
              <w:tl2br w:val="nil"/>
              <w:tr2bl w:val="nil"/>
            </w:tcBorders>
            <w:shd w:val="clear" w:color="auto" w:fill="auto"/>
            <w:vAlign w:val="center"/>
          </w:tcPr>
          <w:p>
            <w:pPr>
              <w:jc w:val="center"/>
              <w:rPr>
                <w:rFonts w:hint="eastAsia" w:ascii="宋体" w:hAnsi="宋体" w:cs="宋体"/>
                <w:sz w:val="18"/>
                <w:szCs w:val="18"/>
              </w:rPr>
            </w:pPr>
            <w:r>
              <w:rPr>
                <w:rFonts w:hint="eastAsia" w:ascii="宋体" w:hAnsi="宋体" w:cs="宋体"/>
                <w:sz w:val="18"/>
                <w:szCs w:val="18"/>
              </w:rPr>
              <w:t>100</w:t>
            </w:r>
          </w:p>
        </w:tc>
      </w:tr>
      <w:bookmarkEnd w:id="566"/>
    </w:tbl>
    <w:p>
      <w:pPr>
        <w:pStyle w:val="86"/>
        <w:spacing w:before="156" w:after="156"/>
      </w:pPr>
      <w:bookmarkStart w:id="567" w:name="_Toc153186224"/>
      <w:bookmarkStart w:id="568" w:name="_Toc144924211"/>
      <w:bookmarkStart w:id="569" w:name="_Toc151494081"/>
      <w:r>
        <w:rPr>
          <w:rFonts w:hint="eastAsia"/>
        </w:rPr>
        <w:t>定量评价指标评分细则</w:t>
      </w:r>
      <w:bookmarkEnd w:id="567"/>
      <w:bookmarkEnd w:id="568"/>
      <w:bookmarkEnd w:id="569"/>
    </w:p>
    <w:p>
      <w:pPr>
        <w:pStyle w:val="15"/>
        <w:ind w:firstLine="420"/>
      </w:pPr>
      <w:r>
        <w:t>表</w:t>
      </w:r>
      <w:r>
        <w:rPr>
          <w:rFonts w:hint="eastAsia" w:ascii="宋体" w:hAnsi="宋体" w:cs="宋体"/>
        </w:rPr>
        <w:t>A.2</w:t>
      </w:r>
      <w:r>
        <w:t>给出了</w:t>
      </w:r>
      <w:r>
        <w:rPr>
          <w:rFonts w:hint="eastAsia"/>
        </w:rPr>
        <w:t>定量评价指标评分细则</w:t>
      </w:r>
      <w:r>
        <w:t>表。</w:t>
      </w:r>
    </w:p>
    <w:p>
      <w:pPr>
        <w:pStyle w:val="85"/>
        <w:spacing w:before="156" w:after="156"/>
        <w:ind w:left="0"/>
      </w:pPr>
      <w:r>
        <w:rPr>
          <w:rFonts w:hint="eastAsia"/>
        </w:rPr>
        <w:t xml:space="preserve"> 定量评价指标评分细则</w:t>
      </w:r>
      <w:r>
        <w:t>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3"/>
        <w:gridCol w:w="665"/>
        <w:gridCol w:w="665"/>
        <w:gridCol w:w="4499"/>
        <w:gridCol w:w="851"/>
        <w:gridCol w:w="567"/>
        <w:gridCol w:w="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dxa"/>
            <w:tcBorders>
              <w:bottom w:val="single" w:color="000000" w:sz="12" w:space="0"/>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序号</w:t>
            </w:r>
          </w:p>
        </w:tc>
        <w:tc>
          <w:tcPr>
            <w:tcW w:w="665" w:type="dxa"/>
            <w:tcBorders>
              <w:bottom w:val="single" w:color="000000" w:sz="12" w:space="0"/>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一级指标</w:t>
            </w:r>
          </w:p>
        </w:tc>
        <w:tc>
          <w:tcPr>
            <w:tcW w:w="665" w:type="dxa"/>
            <w:tcBorders>
              <w:bottom w:val="single" w:color="000000" w:sz="12" w:space="0"/>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二级指标</w:t>
            </w:r>
          </w:p>
        </w:tc>
        <w:tc>
          <w:tcPr>
            <w:tcW w:w="4499" w:type="dxa"/>
            <w:tcBorders>
              <w:bottom w:val="single" w:color="000000" w:sz="12" w:space="0"/>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评分细则</w:t>
            </w:r>
          </w:p>
        </w:tc>
        <w:tc>
          <w:tcPr>
            <w:tcW w:w="851" w:type="dxa"/>
            <w:tcBorders>
              <w:bottom w:val="single" w:color="000000" w:sz="12" w:space="0"/>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实际得分情况</w:t>
            </w:r>
          </w:p>
        </w:tc>
        <w:tc>
          <w:tcPr>
            <w:tcW w:w="567" w:type="dxa"/>
            <w:tcBorders>
              <w:bottom w:val="single" w:color="000000" w:sz="12" w:space="0"/>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分值</w:t>
            </w:r>
          </w:p>
        </w:tc>
        <w:tc>
          <w:tcPr>
            <w:tcW w:w="709" w:type="dxa"/>
            <w:tcBorders>
              <w:bottom w:val="single" w:color="000000" w:sz="12" w:space="0"/>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满分</w:t>
            </w:r>
          </w:p>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dxa"/>
            <w:vMerge w:val="restart"/>
            <w:tcBorders>
              <w:top w:val="single" w:color="000000" w:sz="12" w:space="0"/>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1</w:t>
            </w:r>
          </w:p>
        </w:tc>
        <w:tc>
          <w:tcPr>
            <w:tcW w:w="665" w:type="dxa"/>
            <w:vMerge w:val="restart"/>
            <w:tcBorders>
              <w:top w:val="single" w:color="000000" w:sz="12" w:space="0"/>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碳排放强度</w:t>
            </w:r>
          </w:p>
        </w:tc>
        <w:tc>
          <w:tcPr>
            <w:tcW w:w="665" w:type="dxa"/>
            <w:vMerge w:val="restart"/>
            <w:tcBorders>
              <w:top w:val="single" w:color="000000" w:sz="12" w:space="0"/>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有行业先进值</w:t>
            </w:r>
          </w:p>
        </w:tc>
        <w:tc>
          <w:tcPr>
            <w:tcW w:w="4499" w:type="dxa"/>
            <w:tcBorders>
              <w:top w:val="single" w:color="000000" w:sz="12" w:space="0"/>
              <w:tl2br w:val="nil"/>
              <w:tr2bl w:val="nil"/>
            </w:tcBorders>
            <w:vAlign w:val="center"/>
          </w:tcPr>
          <w:p>
            <w:pPr>
              <w:widowControl/>
              <w:autoSpaceDE w:val="0"/>
              <w:autoSpaceDN w:val="0"/>
              <w:rPr>
                <w:rFonts w:hint="eastAsia" w:ascii="宋体" w:hAnsi="宋体" w:cs="宋体"/>
                <w:kern w:val="0"/>
                <w:sz w:val="18"/>
                <w:szCs w:val="18"/>
              </w:rPr>
            </w:pPr>
            <w:r>
              <w:rPr>
                <w:rFonts w:hint="eastAsia" w:ascii="宋体" w:hAnsi="宋体" w:cs="宋体"/>
                <w:kern w:val="0"/>
                <w:sz w:val="18"/>
                <w:szCs w:val="18"/>
              </w:rPr>
              <w:t>1.小于或等于最新的行业先进值；</w:t>
            </w:r>
          </w:p>
        </w:tc>
        <w:tc>
          <w:tcPr>
            <w:tcW w:w="851" w:type="dxa"/>
            <w:tcBorders>
              <w:top w:val="single" w:color="000000" w:sz="12" w:space="0"/>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w:t>
            </w:r>
          </w:p>
        </w:tc>
        <w:tc>
          <w:tcPr>
            <w:tcW w:w="567" w:type="dxa"/>
            <w:tcBorders>
              <w:top w:val="single" w:color="000000" w:sz="12" w:space="0"/>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100</w:t>
            </w:r>
          </w:p>
        </w:tc>
        <w:tc>
          <w:tcPr>
            <w:tcW w:w="709" w:type="dxa"/>
            <w:vMerge w:val="restart"/>
            <w:tcBorders>
              <w:top w:val="single" w:color="000000" w:sz="12" w:space="0"/>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dxa"/>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665" w:type="dxa"/>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0" w:type="auto"/>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4499" w:type="dxa"/>
            <w:tcBorders>
              <w:tl2br w:val="nil"/>
              <w:tr2bl w:val="nil"/>
            </w:tcBorders>
            <w:vAlign w:val="center"/>
          </w:tcPr>
          <w:p>
            <w:pPr>
              <w:widowControl/>
              <w:autoSpaceDE w:val="0"/>
              <w:autoSpaceDN w:val="0"/>
              <w:rPr>
                <w:rFonts w:hint="eastAsia" w:ascii="宋体" w:hAnsi="宋体" w:cs="宋体"/>
                <w:kern w:val="0"/>
                <w:sz w:val="18"/>
                <w:szCs w:val="18"/>
              </w:rPr>
            </w:pPr>
            <w:r>
              <w:rPr>
                <w:rFonts w:hint="eastAsia" w:ascii="宋体" w:hAnsi="宋体" w:cs="宋体"/>
                <w:kern w:val="0"/>
                <w:sz w:val="18"/>
                <w:szCs w:val="18"/>
              </w:rPr>
              <w:t>2.大于最新行业先进值5%以内（含5%）；</w:t>
            </w:r>
          </w:p>
        </w:tc>
        <w:tc>
          <w:tcPr>
            <w:tcW w:w="851" w:type="dxa"/>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w:t>
            </w:r>
          </w:p>
        </w:tc>
        <w:tc>
          <w:tcPr>
            <w:tcW w:w="567" w:type="dxa"/>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80</w:t>
            </w:r>
          </w:p>
        </w:tc>
        <w:tc>
          <w:tcPr>
            <w:tcW w:w="709" w:type="dxa"/>
            <w:vMerge w:val="continue"/>
            <w:tcBorders>
              <w:tl2br w:val="nil"/>
              <w:tr2bl w:val="nil"/>
            </w:tcBorders>
            <w:vAlign w:val="center"/>
          </w:tcPr>
          <w:p>
            <w:pPr>
              <w:widowControl/>
              <w:adjustRightInd/>
              <w:jc w:val="center"/>
              <w:rPr>
                <w:rFonts w:hint="eastAsia"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dxa"/>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665" w:type="dxa"/>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0" w:type="auto"/>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4499" w:type="dxa"/>
            <w:tcBorders>
              <w:tl2br w:val="nil"/>
              <w:tr2bl w:val="nil"/>
            </w:tcBorders>
            <w:vAlign w:val="center"/>
          </w:tcPr>
          <w:p>
            <w:pPr>
              <w:widowControl/>
              <w:autoSpaceDE w:val="0"/>
              <w:autoSpaceDN w:val="0"/>
              <w:rPr>
                <w:rFonts w:hint="eastAsia" w:ascii="宋体" w:hAnsi="宋体" w:cs="宋体"/>
                <w:kern w:val="0"/>
                <w:sz w:val="18"/>
                <w:szCs w:val="18"/>
              </w:rPr>
            </w:pPr>
            <w:r>
              <w:rPr>
                <w:rFonts w:hint="eastAsia" w:ascii="宋体" w:hAnsi="宋体" w:cs="宋体"/>
                <w:kern w:val="0"/>
                <w:sz w:val="18"/>
                <w:szCs w:val="18"/>
              </w:rPr>
              <w:t>3.大于最新行业先进值5%以上10%以内（含10%）；</w:t>
            </w:r>
          </w:p>
        </w:tc>
        <w:tc>
          <w:tcPr>
            <w:tcW w:w="851" w:type="dxa"/>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w:t>
            </w:r>
          </w:p>
        </w:tc>
        <w:tc>
          <w:tcPr>
            <w:tcW w:w="567" w:type="dxa"/>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70</w:t>
            </w:r>
          </w:p>
        </w:tc>
        <w:tc>
          <w:tcPr>
            <w:tcW w:w="709" w:type="dxa"/>
            <w:vMerge w:val="continue"/>
            <w:tcBorders>
              <w:tl2br w:val="nil"/>
              <w:tr2bl w:val="nil"/>
            </w:tcBorders>
            <w:vAlign w:val="center"/>
          </w:tcPr>
          <w:p>
            <w:pPr>
              <w:widowControl/>
              <w:adjustRightInd/>
              <w:jc w:val="center"/>
              <w:rPr>
                <w:rFonts w:hint="eastAsia"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dxa"/>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665" w:type="dxa"/>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0" w:type="auto"/>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4499" w:type="dxa"/>
            <w:tcBorders>
              <w:tl2br w:val="nil"/>
              <w:tr2bl w:val="nil"/>
            </w:tcBorders>
            <w:vAlign w:val="center"/>
          </w:tcPr>
          <w:p>
            <w:pPr>
              <w:widowControl/>
              <w:autoSpaceDE w:val="0"/>
              <w:autoSpaceDN w:val="0"/>
              <w:rPr>
                <w:rFonts w:hint="eastAsia" w:ascii="宋体" w:hAnsi="宋体" w:cs="宋体"/>
                <w:kern w:val="0"/>
                <w:sz w:val="18"/>
                <w:szCs w:val="18"/>
              </w:rPr>
            </w:pPr>
            <w:r>
              <w:rPr>
                <w:rFonts w:hint="eastAsia" w:ascii="宋体" w:hAnsi="宋体" w:cs="宋体"/>
                <w:kern w:val="0"/>
                <w:sz w:val="18"/>
                <w:szCs w:val="18"/>
              </w:rPr>
              <w:t>4.大于最新行业先进值10%以上20%以内（含20%）；</w:t>
            </w:r>
          </w:p>
        </w:tc>
        <w:tc>
          <w:tcPr>
            <w:tcW w:w="851" w:type="dxa"/>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w:t>
            </w:r>
          </w:p>
        </w:tc>
        <w:tc>
          <w:tcPr>
            <w:tcW w:w="567" w:type="dxa"/>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60</w:t>
            </w:r>
          </w:p>
        </w:tc>
        <w:tc>
          <w:tcPr>
            <w:tcW w:w="709" w:type="dxa"/>
            <w:vMerge w:val="continue"/>
            <w:tcBorders>
              <w:tl2br w:val="nil"/>
              <w:tr2bl w:val="nil"/>
            </w:tcBorders>
            <w:vAlign w:val="center"/>
          </w:tcPr>
          <w:p>
            <w:pPr>
              <w:widowControl/>
              <w:adjustRightInd/>
              <w:jc w:val="center"/>
              <w:rPr>
                <w:rFonts w:hint="eastAsia"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dxa"/>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665" w:type="dxa"/>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0" w:type="auto"/>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4499" w:type="dxa"/>
            <w:tcBorders>
              <w:tl2br w:val="nil"/>
              <w:tr2bl w:val="nil"/>
            </w:tcBorders>
            <w:vAlign w:val="center"/>
          </w:tcPr>
          <w:p>
            <w:pPr>
              <w:widowControl/>
              <w:autoSpaceDE w:val="0"/>
              <w:autoSpaceDN w:val="0"/>
              <w:rPr>
                <w:rFonts w:hint="eastAsia" w:ascii="宋体" w:hAnsi="宋体" w:cs="宋体"/>
                <w:kern w:val="0"/>
                <w:sz w:val="18"/>
                <w:szCs w:val="18"/>
              </w:rPr>
            </w:pPr>
            <w:r>
              <w:rPr>
                <w:rFonts w:hint="eastAsia" w:ascii="宋体" w:hAnsi="宋体" w:cs="宋体"/>
                <w:kern w:val="0"/>
                <w:sz w:val="18"/>
                <w:szCs w:val="18"/>
              </w:rPr>
              <w:t>5.大于最新行业先进值20%以上（不含20%）。</w:t>
            </w:r>
          </w:p>
        </w:tc>
        <w:tc>
          <w:tcPr>
            <w:tcW w:w="851" w:type="dxa"/>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w:t>
            </w:r>
          </w:p>
        </w:tc>
        <w:tc>
          <w:tcPr>
            <w:tcW w:w="567" w:type="dxa"/>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0</w:t>
            </w:r>
          </w:p>
        </w:tc>
        <w:tc>
          <w:tcPr>
            <w:tcW w:w="709" w:type="dxa"/>
            <w:vMerge w:val="continue"/>
            <w:tcBorders>
              <w:tl2br w:val="nil"/>
              <w:tr2bl w:val="nil"/>
            </w:tcBorders>
            <w:vAlign w:val="center"/>
          </w:tcPr>
          <w:p>
            <w:pPr>
              <w:widowControl/>
              <w:adjustRightInd/>
              <w:jc w:val="center"/>
              <w:rPr>
                <w:rFonts w:hint="eastAsia"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dxa"/>
            <w:vMerge w:val="restart"/>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2</w:t>
            </w:r>
          </w:p>
        </w:tc>
        <w:tc>
          <w:tcPr>
            <w:tcW w:w="665" w:type="dxa"/>
            <w:vMerge w:val="restart"/>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碳排放强度或单位产品能耗限额</w:t>
            </w:r>
          </w:p>
        </w:tc>
        <w:tc>
          <w:tcPr>
            <w:tcW w:w="665" w:type="dxa"/>
            <w:vMerge w:val="restart"/>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无行业先进值</w:t>
            </w:r>
          </w:p>
        </w:tc>
        <w:tc>
          <w:tcPr>
            <w:tcW w:w="4499" w:type="dxa"/>
            <w:tcBorders>
              <w:tl2br w:val="nil"/>
              <w:tr2bl w:val="nil"/>
            </w:tcBorders>
            <w:vAlign w:val="center"/>
          </w:tcPr>
          <w:p>
            <w:pPr>
              <w:widowControl/>
              <w:autoSpaceDE w:val="0"/>
              <w:autoSpaceDN w:val="0"/>
              <w:rPr>
                <w:rFonts w:hint="eastAsia" w:ascii="宋体" w:hAnsi="宋体" w:cs="宋体"/>
                <w:kern w:val="0"/>
                <w:sz w:val="18"/>
                <w:szCs w:val="18"/>
              </w:rPr>
            </w:pPr>
            <w:r>
              <w:rPr>
                <w:rFonts w:hint="eastAsia" w:ascii="宋体" w:hAnsi="宋体" w:cs="宋体"/>
                <w:kern w:val="0"/>
                <w:sz w:val="18"/>
                <w:szCs w:val="18"/>
              </w:rPr>
              <w:t>优先采用碳排放强度指标，优先采用本地数据。若查找无相关数据，可采取历史法，组织最优年度指标值下降一定幅度。</w:t>
            </w:r>
          </w:p>
        </w:tc>
        <w:tc>
          <w:tcPr>
            <w:tcW w:w="851" w:type="dxa"/>
            <w:tcBorders>
              <w:tl2br w:val="nil"/>
              <w:tr2bl w:val="nil"/>
            </w:tcBorders>
            <w:vAlign w:val="center"/>
          </w:tcPr>
          <w:p>
            <w:pPr>
              <w:widowControl/>
              <w:autoSpaceDE w:val="0"/>
              <w:autoSpaceDN w:val="0"/>
              <w:jc w:val="center"/>
              <w:rPr>
                <w:rFonts w:hint="eastAsia" w:ascii="宋体" w:hAnsi="宋体" w:cs="宋体"/>
                <w:kern w:val="0"/>
                <w:sz w:val="18"/>
                <w:szCs w:val="18"/>
              </w:rPr>
            </w:pPr>
          </w:p>
        </w:tc>
        <w:tc>
          <w:tcPr>
            <w:tcW w:w="567" w:type="dxa"/>
            <w:tcBorders>
              <w:tl2br w:val="nil"/>
              <w:tr2bl w:val="nil"/>
            </w:tcBorders>
            <w:vAlign w:val="center"/>
          </w:tcPr>
          <w:p>
            <w:pPr>
              <w:widowControl/>
              <w:autoSpaceDE w:val="0"/>
              <w:autoSpaceDN w:val="0"/>
              <w:jc w:val="center"/>
              <w:rPr>
                <w:rFonts w:hint="eastAsia" w:ascii="宋体" w:hAnsi="宋体" w:cs="宋体"/>
                <w:kern w:val="0"/>
                <w:sz w:val="18"/>
                <w:szCs w:val="18"/>
              </w:rPr>
            </w:pPr>
          </w:p>
        </w:tc>
        <w:tc>
          <w:tcPr>
            <w:tcW w:w="709" w:type="dxa"/>
            <w:tcBorders>
              <w:tl2br w:val="nil"/>
              <w:tr2bl w:val="nil"/>
            </w:tcBorders>
            <w:vAlign w:val="center"/>
          </w:tcPr>
          <w:p>
            <w:pPr>
              <w:widowControl/>
              <w:autoSpaceDE w:val="0"/>
              <w:autoSpaceDN w:val="0"/>
              <w:jc w:val="center"/>
              <w:rPr>
                <w:rFonts w:hint="eastAsia"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dxa"/>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665" w:type="dxa"/>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0" w:type="auto"/>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4499" w:type="dxa"/>
            <w:tcBorders>
              <w:tl2br w:val="nil"/>
              <w:tr2bl w:val="nil"/>
            </w:tcBorders>
            <w:vAlign w:val="center"/>
          </w:tcPr>
          <w:p>
            <w:pPr>
              <w:widowControl/>
              <w:autoSpaceDE w:val="0"/>
              <w:autoSpaceDN w:val="0"/>
              <w:rPr>
                <w:rFonts w:hint="eastAsia" w:ascii="宋体" w:hAnsi="宋体" w:cs="宋体"/>
                <w:kern w:val="0"/>
                <w:sz w:val="18"/>
                <w:szCs w:val="18"/>
              </w:rPr>
            </w:pPr>
            <w:r>
              <w:rPr>
                <w:rFonts w:hint="eastAsia" w:ascii="宋体" w:hAnsi="宋体" w:cs="宋体"/>
                <w:kern w:val="0"/>
                <w:sz w:val="18"/>
                <w:szCs w:val="18"/>
              </w:rPr>
              <w:t>1.评价年度与历史最优年度相比，下降幅度在10%以上（含10%）；</w:t>
            </w:r>
          </w:p>
        </w:tc>
        <w:tc>
          <w:tcPr>
            <w:tcW w:w="851" w:type="dxa"/>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w:t>
            </w:r>
          </w:p>
        </w:tc>
        <w:tc>
          <w:tcPr>
            <w:tcW w:w="567" w:type="dxa"/>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100</w:t>
            </w:r>
          </w:p>
        </w:tc>
        <w:tc>
          <w:tcPr>
            <w:tcW w:w="709" w:type="dxa"/>
            <w:vMerge w:val="restart"/>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dxa"/>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665" w:type="dxa"/>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0" w:type="auto"/>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4499" w:type="dxa"/>
            <w:tcBorders>
              <w:tl2br w:val="nil"/>
              <w:tr2bl w:val="nil"/>
            </w:tcBorders>
            <w:vAlign w:val="center"/>
          </w:tcPr>
          <w:p>
            <w:pPr>
              <w:widowControl/>
              <w:autoSpaceDE w:val="0"/>
              <w:autoSpaceDN w:val="0"/>
              <w:rPr>
                <w:rFonts w:hint="eastAsia" w:ascii="宋体" w:hAnsi="宋体" w:cs="宋体"/>
                <w:kern w:val="0"/>
                <w:sz w:val="18"/>
                <w:szCs w:val="18"/>
              </w:rPr>
            </w:pPr>
            <w:r>
              <w:rPr>
                <w:rFonts w:hint="eastAsia" w:ascii="宋体" w:hAnsi="宋体" w:cs="宋体"/>
                <w:kern w:val="0"/>
                <w:sz w:val="18"/>
                <w:szCs w:val="18"/>
              </w:rPr>
              <w:t>2.评价年度与历史最优年度相比，下降幅度在5%以上（含5%）；</w:t>
            </w:r>
          </w:p>
        </w:tc>
        <w:tc>
          <w:tcPr>
            <w:tcW w:w="851" w:type="dxa"/>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w:t>
            </w:r>
          </w:p>
        </w:tc>
        <w:tc>
          <w:tcPr>
            <w:tcW w:w="567" w:type="dxa"/>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80</w:t>
            </w:r>
          </w:p>
        </w:tc>
        <w:tc>
          <w:tcPr>
            <w:tcW w:w="709" w:type="dxa"/>
            <w:vMerge w:val="continue"/>
            <w:tcBorders>
              <w:tl2br w:val="nil"/>
              <w:tr2bl w:val="nil"/>
            </w:tcBorders>
            <w:vAlign w:val="center"/>
          </w:tcPr>
          <w:p>
            <w:pPr>
              <w:widowControl/>
              <w:adjustRightInd/>
              <w:jc w:val="center"/>
              <w:rPr>
                <w:rFonts w:hint="eastAsia"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dxa"/>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665" w:type="dxa"/>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0" w:type="auto"/>
            <w:vMerge w:val="continue"/>
            <w:tcBorders>
              <w:tl2br w:val="nil"/>
              <w:tr2bl w:val="nil"/>
            </w:tcBorders>
            <w:vAlign w:val="center"/>
          </w:tcPr>
          <w:p>
            <w:pPr>
              <w:widowControl/>
              <w:adjustRightInd/>
              <w:jc w:val="center"/>
              <w:rPr>
                <w:rFonts w:hint="eastAsia" w:ascii="宋体" w:hAnsi="宋体" w:cs="宋体"/>
                <w:kern w:val="0"/>
                <w:sz w:val="18"/>
                <w:szCs w:val="18"/>
              </w:rPr>
            </w:pPr>
          </w:p>
        </w:tc>
        <w:tc>
          <w:tcPr>
            <w:tcW w:w="4499" w:type="dxa"/>
            <w:tcBorders>
              <w:tl2br w:val="nil"/>
              <w:tr2bl w:val="nil"/>
            </w:tcBorders>
            <w:vAlign w:val="center"/>
          </w:tcPr>
          <w:p>
            <w:pPr>
              <w:widowControl/>
              <w:autoSpaceDE w:val="0"/>
              <w:autoSpaceDN w:val="0"/>
              <w:rPr>
                <w:rFonts w:hint="eastAsia" w:ascii="宋体" w:hAnsi="宋体" w:cs="宋体"/>
                <w:kern w:val="0"/>
                <w:sz w:val="18"/>
                <w:szCs w:val="18"/>
              </w:rPr>
            </w:pPr>
            <w:r>
              <w:rPr>
                <w:rFonts w:hint="eastAsia" w:ascii="宋体" w:hAnsi="宋体" w:cs="宋体"/>
                <w:kern w:val="0"/>
                <w:sz w:val="18"/>
                <w:szCs w:val="18"/>
              </w:rPr>
              <w:t>3.评价年度与历史最优年度相比，下降幅度在3%以上（不含3%）。</w:t>
            </w:r>
          </w:p>
        </w:tc>
        <w:tc>
          <w:tcPr>
            <w:tcW w:w="851" w:type="dxa"/>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w:t>
            </w:r>
          </w:p>
        </w:tc>
        <w:tc>
          <w:tcPr>
            <w:tcW w:w="567" w:type="dxa"/>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60</w:t>
            </w:r>
          </w:p>
        </w:tc>
        <w:tc>
          <w:tcPr>
            <w:tcW w:w="709" w:type="dxa"/>
            <w:vMerge w:val="continue"/>
            <w:tcBorders>
              <w:tl2br w:val="nil"/>
              <w:tr2bl w:val="nil"/>
            </w:tcBorders>
            <w:vAlign w:val="center"/>
          </w:tcPr>
          <w:p>
            <w:pPr>
              <w:widowControl/>
              <w:adjustRightInd/>
              <w:jc w:val="center"/>
              <w:rPr>
                <w:rFonts w:hint="eastAsia"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3" w:type="dxa"/>
            <w:tcBorders>
              <w:tl2br w:val="nil"/>
              <w:tr2bl w:val="nil"/>
            </w:tcBorders>
            <w:vAlign w:val="center"/>
          </w:tcPr>
          <w:p>
            <w:pPr>
              <w:widowControl/>
              <w:adjustRightInd/>
              <w:jc w:val="center"/>
              <w:rPr>
                <w:rFonts w:hint="eastAsia" w:ascii="宋体" w:hAnsi="宋体" w:cs="宋体"/>
                <w:kern w:val="0"/>
                <w:sz w:val="18"/>
                <w:szCs w:val="18"/>
              </w:rPr>
            </w:pPr>
          </w:p>
        </w:tc>
        <w:tc>
          <w:tcPr>
            <w:tcW w:w="665" w:type="dxa"/>
            <w:tcBorders>
              <w:tl2br w:val="nil"/>
              <w:tr2bl w:val="nil"/>
            </w:tcBorders>
            <w:vAlign w:val="center"/>
          </w:tcPr>
          <w:p>
            <w:pPr>
              <w:widowControl/>
              <w:adjustRightInd/>
              <w:jc w:val="center"/>
              <w:rPr>
                <w:rFonts w:hint="eastAsia" w:ascii="宋体" w:hAnsi="宋体" w:cs="宋体"/>
                <w:kern w:val="0"/>
                <w:sz w:val="18"/>
                <w:szCs w:val="18"/>
              </w:rPr>
            </w:pPr>
          </w:p>
        </w:tc>
        <w:tc>
          <w:tcPr>
            <w:tcW w:w="0" w:type="auto"/>
            <w:tcBorders>
              <w:tl2br w:val="nil"/>
              <w:tr2bl w:val="nil"/>
            </w:tcBorders>
            <w:vAlign w:val="center"/>
          </w:tcPr>
          <w:p>
            <w:pPr>
              <w:widowControl/>
              <w:adjustRightInd/>
              <w:jc w:val="center"/>
              <w:rPr>
                <w:rFonts w:hint="eastAsia" w:ascii="宋体" w:hAnsi="宋体" w:cs="宋体"/>
                <w:kern w:val="0"/>
                <w:sz w:val="18"/>
                <w:szCs w:val="18"/>
              </w:rPr>
            </w:pPr>
          </w:p>
        </w:tc>
        <w:tc>
          <w:tcPr>
            <w:tcW w:w="4499" w:type="dxa"/>
            <w:tcBorders>
              <w:tl2br w:val="nil"/>
              <w:tr2bl w:val="nil"/>
            </w:tcBorders>
            <w:vAlign w:val="center"/>
          </w:tcPr>
          <w:p>
            <w:pPr>
              <w:widowControl/>
              <w:autoSpaceDE w:val="0"/>
              <w:autoSpaceDN w:val="0"/>
              <w:rPr>
                <w:rFonts w:hint="eastAsia" w:ascii="宋体" w:hAnsi="宋体" w:cs="宋体"/>
                <w:kern w:val="0"/>
                <w:sz w:val="18"/>
                <w:szCs w:val="18"/>
              </w:rPr>
            </w:pPr>
            <w:r>
              <w:rPr>
                <w:rFonts w:hint="eastAsia" w:ascii="宋体" w:hAnsi="宋体" w:cs="宋体"/>
                <w:kern w:val="0"/>
                <w:sz w:val="18"/>
                <w:szCs w:val="18"/>
              </w:rPr>
              <w:t>4.评价年度与历史最优年度相比，下降幅度在3%以下（含3%）。</w:t>
            </w:r>
          </w:p>
        </w:tc>
        <w:tc>
          <w:tcPr>
            <w:tcW w:w="851" w:type="dxa"/>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w:t>
            </w:r>
          </w:p>
        </w:tc>
        <w:tc>
          <w:tcPr>
            <w:tcW w:w="567" w:type="dxa"/>
            <w:tcBorders>
              <w:tl2br w:val="nil"/>
              <w:tr2bl w:val="nil"/>
            </w:tcBorders>
            <w:vAlign w:val="center"/>
          </w:tcPr>
          <w:p>
            <w:pPr>
              <w:widowControl/>
              <w:autoSpaceDE w:val="0"/>
              <w:autoSpaceDN w:val="0"/>
              <w:jc w:val="center"/>
              <w:rPr>
                <w:rFonts w:hint="eastAsia" w:ascii="宋体" w:hAnsi="宋体" w:cs="宋体"/>
                <w:kern w:val="0"/>
                <w:sz w:val="18"/>
                <w:szCs w:val="18"/>
              </w:rPr>
            </w:pPr>
            <w:r>
              <w:rPr>
                <w:rFonts w:hint="eastAsia" w:ascii="宋体" w:hAnsi="宋体" w:cs="宋体"/>
                <w:kern w:val="0"/>
                <w:sz w:val="18"/>
                <w:szCs w:val="18"/>
              </w:rPr>
              <w:t>0</w:t>
            </w:r>
          </w:p>
        </w:tc>
        <w:tc>
          <w:tcPr>
            <w:tcW w:w="709" w:type="dxa"/>
            <w:tcBorders>
              <w:tl2br w:val="nil"/>
              <w:tr2bl w:val="nil"/>
            </w:tcBorders>
            <w:vAlign w:val="center"/>
          </w:tcPr>
          <w:p>
            <w:pPr>
              <w:widowControl/>
              <w:adjustRightInd/>
              <w:jc w:val="center"/>
              <w:rPr>
                <w:rFonts w:hint="eastAsia" w:ascii="宋体" w:hAnsi="宋体" w:cs="宋体"/>
                <w:kern w:val="0"/>
                <w:sz w:val="18"/>
                <w:szCs w:val="18"/>
              </w:rPr>
            </w:pPr>
          </w:p>
        </w:tc>
      </w:tr>
    </w:tbl>
    <w:p>
      <w:pPr>
        <w:pStyle w:val="64"/>
        <w:rPr>
          <w:rFonts w:hint="eastAsia" w:hAnsi="黑体" w:cs="黑体"/>
        </w:rPr>
      </w:pPr>
      <w:bookmarkStart w:id="570" w:name="_Toc144924212"/>
      <w:bookmarkStart w:id="571" w:name="_Toc151494082"/>
      <w:bookmarkStart w:id="572" w:name="_Toc153186225"/>
    </w:p>
    <w:p>
      <w:pPr>
        <w:pStyle w:val="86"/>
        <w:spacing w:before="156" w:after="156"/>
      </w:pPr>
      <w:r>
        <w:rPr>
          <w:rFonts w:hint="eastAsia"/>
        </w:rPr>
        <w:t>评价指标计分权重</w:t>
      </w:r>
      <w:bookmarkEnd w:id="570"/>
      <w:bookmarkEnd w:id="571"/>
      <w:bookmarkEnd w:id="572"/>
    </w:p>
    <w:p>
      <w:pPr>
        <w:pStyle w:val="15"/>
        <w:ind w:firstLine="420"/>
      </w:pPr>
      <w:r>
        <w:rPr>
          <w:rFonts w:hint="eastAsia" w:ascii="宋体" w:hAnsi="宋体" w:cs="宋体"/>
        </w:rPr>
        <w:t>表A.3给</w:t>
      </w:r>
      <w:r>
        <w:t>出了</w:t>
      </w:r>
      <w:r>
        <w:rPr>
          <w:rFonts w:hint="eastAsia"/>
        </w:rPr>
        <w:t>评价指标计分权重</w:t>
      </w:r>
      <w:r>
        <w:t>表。</w:t>
      </w:r>
    </w:p>
    <w:p>
      <w:pPr>
        <w:pStyle w:val="85"/>
        <w:spacing w:before="156" w:after="156"/>
        <w:ind w:left="0"/>
      </w:pPr>
      <w:r>
        <w:rPr>
          <w:rFonts w:hint="eastAsia"/>
        </w:rPr>
        <w:t>评价指标计分权重</w:t>
      </w:r>
    </w:p>
    <w:tbl>
      <w:tblPr>
        <w:tblStyle w:val="34"/>
        <w:tblW w:w="0" w:type="auto"/>
        <w:tblInd w:w="421" w:type="dxa"/>
        <w:tblBorders>
          <w:top w:val="single" w:color="000000" w:sz="12" w:space="0"/>
          <w:left w:val="single" w:color="000000" w:sz="12" w:space="0"/>
          <w:bottom w:val="single" w:color="000000" w:sz="12" w:space="0"/>
          <w:right w:val="single" w:color="000000" w:sz="12" w:space="0"/>
          <w:insideH w:val="single" w:color="000000" w:sz="12" w:space="0"/>
          <w:insideV w:val="single" w:color="auto" w:sz="4" w:space="0"/>
        </w:tblBorders>
        <w:tblLayout w:type="autofit"/>
        <w:tblCellMar>
          <w:top w:w="0" w:type="dxa"/>
          <w:left w:w="108" w:type="dxa"/>
          <w:bottom w:w="0" w:type="dxa"/>
          <w:right w:w="108" w:type="dxa"/>
        </w:tblCellMar>
      </w:tblPr>
      <w:tblGrid>
        <w:gridCol w:w="1134"/>
        <w:gridCol w:w="1275"/>
        <w:gridCol w:w="1134"/>
        <w:gridCol w:w="1134"/>
        <w:gridCol w:w="785"/>
        <w:gridCol w:w="1298"/>
        <w:gridCol w:w="1011"/>
        <w:gridCol w:w="87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auto" w:sz="4" w:space="0"/>
          </w:tblBorders>
          <w:tblCellMar>
            <w:top w:w="0" w:type="dxa"/>
            <w:left w:w="108" w:type="dxa"/>
            <w:bottom w:w="0" w:type="dxa"/>
            <w:right w:w="108" w:type="dxa"/>
          </w:tblCellMar>
        </w:tblPrEx>
        <w:tc>
          <w:tcPr>
            <w:tcW w:w="1134" w:type="dxa"/>
            <w:tcBorders>
              <w:tl2br w:val="nil"/>
              <w:tr2bl w:val="nil"/>
            </w:tcBorders>
            <w:vAlign w:val="center"/>
          </w:tcPr>
          <w:p>
            <w:pPr>
              <w:pStyle w:val="64"/>
              <w:spacing w:line="400" w:lineRule="exact"/>
              <w:jc w:val="center"/>
              <w:rPr>
                <w:rFonts w:hint="eastAsia" w:hAnsi="宋体" w:cs="宋体"/>
                <w:sz w:val="18"/>
                <w:szCs w:val="18"/>
              </w:rPr>
            </w:pPr>
            <w:r>
              <w:rPr>
                <w:rFonts w:hint="eastAsia" w:hAnsi="宋体" w:cs="宋体"/>
                <w:sz w:val="18"/>
                <w:szCs w:val="18"/>
              </w:rPr>
              <w:t>总项名称</w:t>
            </w:r>
          </w:p>
        </w:tc>
        <w:tc>
          <w:tcPr>
            <w:tcW w:w="1275" w:type="dxa"/>
            <w:tcBorders>
              <w:tl2br w:val="nil"/>
              <w:tr2bl w:val="nil"/>
            </w:tcBorders>
            <w:vAlign w:val="center"/>
          </w:tcPr>
          <w:p>
            <w:pPr>
              <w:pStyle w:val="64"/>
              <w:spacing w:line="400" w:lineRule="exact"/>
              <w:jc w:val="center"/>
              <w:rPr>
                <w:rFonts w:hint="eastAsia" w:hAnsi="宋体" w:cs="宋体"/>
                <w:sz w:val="18"/>
                <w:szCs w:val="18"/>
              </w:rPr>
            </w:pPr>
            <w:r>
              <w:rPr>
                <w:rFonts w:hint="eastAsia" w:hAnsi="宋体" w:cs="宋体"/>
                <w:sz w:val="18"/>
                <w:szCs w:val="18"/>
              </w:rPr>
              <w:t>满分分值</w:t>
            </w:r>
          </w:p>
        </w:tc>
        <w:tc>
          <w:tcPr>
            <w:tcW w:w="1134" w:type="dxa"/>
            <w:tcBorders>
              <w:tl2br w:val="nil"/>
              <w:tr2bl w:val="nil"/>
            </w:tcBorders>
            <w:vAlign w:val="center"/>
          </w:tcPr>
          <w:p>
            <w:pPr>
              <w:pStyle w:val="64"/>
              <w:spacing w:line="400" w:lineRule="exact"/>
              <w:jc w:val="center"/>
              <w:rPr>
                <w:rFonts w:hint="eastAsia" w:hAnsi="宋体" w:cs="宋体"/>
                <w:sz w:val="18"/>
                <w:szCs w:val="18"/>
              </w:rPr>
            </w:pPr>
            <w:r>
              <w:rPr>
                <w:rFonts w:hint="eastAsia" w:hAnsi="宋体" w:cs="宋体"/>
                <w:sz w:val="18"/>
                <w:szCs w:val="18"/>
              </w:rPr>
              <w:t>分项名称</w:t>
            </w:r>
          </w:p>
        </w:tc>
        <w:tc>
          <w:tcPr>
            <w:tcW w:w="1134" w:type="dxa"/>
            <w:tcBorders>
              <w:tl2br w:val="nil"/>
              <w:tr2bl w:val="nil"/>
            </w:tcBorders>
            <w:vAlign w:val="center"/>
          </w:tcPr>
          <w:p>
            <w:pPr>
              <w:pStyle w:val="64"/>
              <w:spacing w:line="400" w:lineRule="exact"/>
              <w:jc w:val="center"/>
              <w:rPr>
                <w:rFonts w:hint="eastAsia" w:hAnsi="宋体" w:cs="宋体"/>
                <w:sz w:val="18"/>
                <w:szCs w:val="18"/>
              </w:rPr>
            </w:pPr>
            <w:r>
              <w:rPr>
                <w:rFonts w:hint="eastAsia" w:hAnsi="宋体" w:cs="宋体"/>
                <w:sz w:val="18"/>
                <w:szCs w:val="18"/>
              </w:rPr>
              <w:t>满分分值</w:t>
            </w:r>
          </w:p>
        </w:tc>
        <w:tc>
          <w:tcPr>
            <w:tcW w:w="785" w:type="dxa"/>
            <w:tcBorders>
              <w:tl2br w:val="nil"/>
              <w:tr2bl w:val="nil"/>
            </w:tcBorders>
            <w:vAlign w:val="center"/>
          </w:tcPr>
          <w:p>
            <w:pPr>
              <w:pStyle w:val="64"/>
              <w:spacing w:line="400" w:lineRule="exact"/>
              <w:jc w:val="center"/>
              <w:rPr>
                <w:rFonts w:hint="eastAsia" w:hAnsi="宋体" w:cs="宋体"/>
                <w:sz w:val="18"/>
                <w:szCs w:val="18"/>
              </w:rPr>
            </w:pPr>
            <w:r>
              <w:rPr>
                <w:rFonts w:hint="eastAsia" w:hAnsi="宋体" w:cs="宋体"/>
                <w:sz w:val="18"/>
                <w:szCs w:val="18"/>
              </w:rPr>
              <w:t>权重</w:t>
            </w:r>
          </w:p>
        </w:tc>
        <w:tc>
          <w:tcPr>
            <w:tcW w:w="1298" w:type="dxa"/>
            <w:tcBorders>
              <w:tl2br w:val="nil"/>
              <w:tr2bl w:val="nil"/>
            </w:tcBorders>
            <w:vAlign w:val="center"/>
          </w:tcPr>
          <w:p>
            <w:pPr>
              <w:pStyle w:val="64"/>
              <w:spacing w:line="400" w:lineRule="exact"/>
              <w:jc w:val="center"/>
              <w:rPr>
                <w:rFonts w:hint="eastAsia" w:hAnsi="宋体" w:cs="宋体"/>
                <w:sz w:val="18"/>
                <w:szCs w:val="18"/>
              </w:rPr>
            </w:pPr>
            <w:r>
              <w:rPr>
                <w:rFonts w:hint="eastAsia" w:hAnsi="宋体" w:cs="宋体"/>
                <w:sz w:val="18"/>
                <w:szCs w:val="18"/>
              </w:rPr>
              <w:t>分项名称</w:t>
            </w:r>
          </w:p>
        </w:tc>
        <w:tc>
          <w:tcPr>
            <w:tcW w:w="1011" w:type="dxa"/>
            <w:tcBorders>
              <w:tl2br w:val="nil"/>
              <w:tr2bl w:val="nil"/>
            </w:tcBorders>
            <w:vAlign w:val="center"/>
          </w:tcPr>
          <w:p>
            <w:pPr>
              <w:pStyle w:val="64"/>
              <w:spacing w:line="400" w:lineRule="exact"/>
              <w:jc w:val="center"/>
              <w:rPr>
                <w:rFonts w:hint="eastAsia" w:hAnsi="宋体" w:cs="宋体"/>
                <w:sz w:val="18"/>
                <w:szCs w:val="18"/>
              </w:rPr>
            </w:pPr>
            <w:r>
              <w:rPr>
                <w:rFonts w:hint="eastAsia" w:hAnsi="宋体" w:cs="宋体"/>
                <w:sz w:val="18"/>
                <w:szCs w:val="18"/>
              </w:rPr>
              <w:t>满分分值</w:t>
            </w:r>
          </w:p>
        </w:tc>
        <w:tc>
          <w:tcPr>
            <w:tcW w:w="875" w:type="dxa"/>
            <w:tcBorders>
              <w:tl2br w:val="nil"/>
              <w:tr2bl w:val="nil"/>
            </w:tcBorders>
            <w:vAlign w:val="center"/>
          </w:tcPr>
          <w:p>
            <w:pPr>
              <w:pStyle w:val="64"/>
              <w:spacing w:line="400" w:lineRule="exact"/>
              <w:jc w:val="center"/>
              <w:rPr>
                <w:rFonts w:hint="eastAsia" w:hAnsi="宋体" w:cs="宋体"/>
                <w:sz w:val="18"/>
                <w:szCs w:val="18"/>
              </w:rPr>
            </w:pPr>
            <w:r>
              <w:rPr>
                <w:rFonts w:hint="eastAsia" w:hAnsi="宋体" w:cs="宋体"/>
                <w:sz w:val="18"/>
                <w:szCs w:val="18"/>
              </w:rPr>
              <w:t>权重</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auto" w:sz="4" w:space="0"/>
          </w:tblBorders>
          <w:tblCellMar>
            <w:top w:w="0" w:type="dxa"/>
            <w:left w:w="108" w:type="dxa"/>
            <w:bottom w:w="0" w:type="dxa"/>
            <w:right w:w="108" w:type="dxa"/>
          </w:tblCellMar>
        </w:tblPrEx>
        <w:tc>
          <w:tcPr>
            <w:tcW w:w="1134" w:type="dxa"/>
            <w:tcBorders>
              <w:tl2br w:val="nil"/>
              <w:tr2bl w:val="nil"/>
            </w:tcBorders>
            <w:vAlign w:val="center"/>
          </w:tcPr>
          <w:p>
            <w:pPr>
              <w:pStyle w:val="64"/>
              <w:spacing w:line="400" w:lineRule="exact"/>
              <w:jc w:val="center"/>
              <w:rPr>
                <w:rFonts w:hint="eastAsia" w:hAnsi="宋体" w:cs="宋体"/>
                <w:sz w:val="18"/>
                <w:szCs w:val="18"/>
              </w:rPr>
            </w:pPr>
            <w:r>
              <w:rPr>
                <w:rFonts w:hint="eastAsia" w:hAnsi="宋体" w:cs="宋体"/>
                <w:sz w:val="18"/>
                <w:szCs w:val="18"/>
              </w:rPr>
              <w:t>综合得分</w:t>
            </w:r>
          </w:p>
        </w:tc>
        <w:tc>
          <w:tcPr>
            <w:tcW w:w="1275" w:type="dxa"/>
            <w:tcBorders>
              <w:tl2br w:val="nil"/>
              <w:tr2bl w:val="nil"/>
            </w:tcBorders>
            <w:vAlign w:val="center"/>
          </w:tcPr>
          <w:p>
            <w:pPr>
              <w:pStyle w:val="64"/>
              <w:spacing w:line="400" w:lineRule="exact"/>
              <w:jc w:val="center"/>
              <w:rPr>
                <w:rFonts w:hint="eastAsia" w:hAnsi="宋体" w:cs="宋体"/>
                <w:sz w:val="18"/>
                <w:szCs w:val="18"/>
              </w:rPr>
            </w:pPr>
            <w:r>
              <w:rPr>
                <w:rFonts w:hint="eastAsia" w:hAnsi="宋体" w:cs="宋体"/>
                <w:sz w:val="18"/>
                <w:szCs w:val="18"/>
              </w:rPr>
              <w:t>100</w:t>
            </w:r>
          </w:p>
        </w:tc>
        <w:tc>
          <w:tcPr>
            <w:tcW w:w="1134" w:type="dxa"/>
            <w:tcBorders>
              <w:tl2br w:val="nil"/>
              <w:tr2bl w:val="nil"/>
            </w:tcBorders>
            <w:vAlign w:val="center"/>
          </w:tcPr>
          <w:p>
            <w:pPr>
              <w:pStyle w:val="64"/>
              <w:spacing w:line="400" w:lineRule="exact"/>
              <w:jc w:val="center"/>
              <w:rPr>
                <w:rFonts w:hint="eastAsia" w:hAnsi="宋体" w:cs="宋体"/>
                <w:sz w:val="18"/>
                <w:szCs w:val="18"/>
              </w:rPr>
            </w:pPr>
            <w:r>
              <w:rPr>
                <w:rFonts w:hint="eastAsia" w:hAnsi="宋体" w:cs="宋体"/>
                <w:sz w:val="18"/>
                <w:szCs w:val="18"/>
              </w:rPr>
              <w:t>定性评价指标</w:t>
            </w:r>
          </w:p>
        </w:tc>
        <w:tc>
          <w:tcPr>
            <w:tcW w:w="1134" w:type="dxa"/>
            <w:tcBorders>
              <w:tl2br w:val="nil"/>
              <w:tr2bl w:val="nil"/>
            </w:tcBorders>
            <w:vAlign w:val="center"/>
          </w:tcPr>
          <w:p>
            <w:pPr>
              <w:pStyle w:val="64"/>
              <w:spacing w:line="400" w:lineRule="exact"/>
              <w:jc w:val="center"/>
              <w:rPr>
                <w:rFonts w:hint="eastAsia" w:hAnsi="宋体" w:cs="宋体"/>
                <w:sz w:val="18"/>
                <w:szCs w:val="18"/>
              </w:rPr>
            </w:pPr>
            <w:r>
              <w:rPr>
                <w:rFonts w:hint="eastAsia" w:hAnsi="宋体" w:cs="宋体"/>
                <w:sz w:val="18"/>
                <w:szCs w:val="18"/>
              </w:rPr>
              <w:t>100</w:t>
            </w:r>
          </w:p>
        </w:tc>
        <w:tc>
          <w:tcPr>
            <w:tcW w:w="785" w:type="dxa"/>
            <w:tcBorders>
              <w:tl2br w:val="nil"/>
              <w:tr2bl w:val="nil"/>
            </w:tcBorders>
            <w:vAlign w:val="center"/>
          </w:tcPr>
          <w:p>
            <w:pPr>
              <w:pStyle w:val="64"/>
              <w:spacing w:line="400" w:lineRule="exact"/>
              <w:jc w:val="center"/>
              <w:rPr>
                <w:rFonts w:hint="eastAsia" w:hAnsi="宋体" w:cs="宋体"/>
                <w:sz w:val="18"/>
                <w:szCs w:val="18"/>
              </w:rPr>
            </w:pPr>
            <w:r>
              <w:rPr>
                <w:rFonts w:hint="eastAsia" w:hAnsi="宋体" w:cs="宋体"/>
                <w:sz w:val="18"/>
                <w:szCs w:val="18"/>
              </w:rPr>
              <w:t>0.7</w:t>
            </w:r>
          </w:p>
        </w:tc>
        <w:tc>
          <w:tcPr>
            <w:tcW w:w="1298" w:type="dxa"/>
            <w:tcBorders>
              <w:tl2br w:val="nil"/>
              <w:tr2bl w:val="nil"/>
            </w:tcBorders>
            <w:vAlign w:val="center"/>
          </w:tcPr>
          <w:p>
            <w:pPr>
              <w:pStyle w:val="64"/>
              <w:spacing w:line="400" w:lineRule="exact"/>
              <w:jc w:val="center"/>
              <w:rPr>
                <w:rFonts w:hint="eastAsia" w:hAnsi="宋体" w:cs="宋体"/>
                <w:sz w:val="18"/>
                <w:szCs w:val="18"/>
              </w:rPr>
            </w:pPr>
            <w:r>
              <w:rPr>
                <w:rFonts w:hint="eastAsia" w:hAnsi="宋体" w:cs="宋体"/>
                <w:sz w:val="18"/>
                <w:szCs w:val="18"/>
              </w:rPr>
              <w:t>定量评价指标</w:t>
            </w:r>
          </w:p>
        </w:tc>
        <w:tc>
          <w:tcPr>
            <w:tcW w:w="1011" w:type="dxa"/>
            <w:tcBorders>
              <w:tl2br w:val="nil"/>
              <w:tr2bl w:val="nil"/>
            </w:tcBorders>
            <w:vAlign w:val="center"/>
          </w:tcPr>
          <w:p>
            <w:pPr>
              <w:pStyle w:val="64"/>
              <w:spacing w:line="400" w:lineRule="exact"/>
              <w:jc w:val="center"/>
              <w:rPr>
                <w:rFonts w:hint="eastAsia" w:hAnsi="宋体" w:cs="宋体"/>
                <w:sz w:val="18"/>
                <w:szCs w:val="18"/>
              </w:rPr>
            </w:pPr>
            <w:r>
              <w:rPr>
                <w:rFonts w:hint="eastAsia" w:hAnsi="宋体" w:cs="宋体"/>
                <w:sz w:val="18"/>
                <w:szCs w:val="18"/>
              </w:rPr>
              <w:t>100</w:t>
            </w:r>
          </w:p>
        </w:tc>
        <w:tc>
          <w:tcPr>
            <w:tcW w:w="875" w:type="dxa"/>
            <w:tcBorders>
              <w:tl2br w:val="nil"/>
              <w:tr2bl w:val="nil"/>
            </w:tcBorders>
            <w:vAlign w:val="center"/>
          </w:tcPr>
          <w:p>
            <w:pPr>
              <w:pStyle w:val="64"/>
              <w:spacing w:line="400" w:lineRule="exact"/>
              <w:jc w:val="center"/>
              <w:rPr>
                <w:rFonts w:hint="eastAsia" w:hAnsi="宋体" w:cs="宋体"/>
                <w:sz w:val="18"/>
                <w:szCs w:val="18"/>
              </w:rPr>
            </w:pPr>
            <w:r>
              <w:rPr>
                <w:rFonts w:hint="eastAsia" w:hAnsi="宋体" w:cs="宋体"/>
                <w:sz w:val="18"/>
                <w:szCs w:val="18"/>
              </w:rPr>
              <w:t>0.3</w:t>
            </w:r>
          </w:p>
        </w:tc>
      </w:tr>
    </w:tbl>
    <w:p>
      <w:pPr>
        <w:pStyle w:val="64"/>
      </w:pPr>
    </w:p>
    <w:p>
      <w:pPr>
        <w:pStyle w:val="64"/>
        <w:sectPr>
          <w:headerReference r:id="rId16" w:type="default"/>
          <w:footerReference r:id="rId17" w:type="default"/>
          <w:footerReference r:id="rId18" w:type="even"/>
          <w:pgSz w:w="11905" w:h="16838"/>
          <w:pgMar w:top="1928" w:right="1134" w:bottom="1134" w:left="1134" w:header="1417" w:footer="1134" w:gutter="283"/>
          <w:cols w:space="0" w:num="1"/>
          <w:formProt w:val="0"/>
          <w:docGrid w:type="lines" w:linePitch="312" w:charSpace="0"/>
        </w:sectPr>
      </w:pPr>
    </w:p>
    <w:p>
      <w:pPr>
        <w:pStyle w:val="206"/>
        <w:rPr>
          <w:rFonts w:hint="eastAsia"/>
        </w:rPr>
      </w:pPr>
    </w:p>
    <w:p>
      <w:pPr>
        <w:pStyle w:val="84"/>
        <w:spacing w:after="156"/>
        <w:rPr>
          <w:rFonts w:hint="eastAsia" w:hAnsi="黑体" w:cs="黑体"/>
        </w:rPr>
      </w:pPr>
      <w:r>
        <w:rPr>
          <w:rFonts w:hint="eastAsia" w:hAnsi="黑体" w:cs="黑体"/>
        </w:rPr>
        <w:t>附 录 B</w:t>
      </w:r>
      <w:bookmarkStart w:id="573" w:name="_Toc110619317"/>
      <w:bookmarkStart w:id="574" w:name="_Toc110619484"/>
      <w:bookmarkStart w:id="575" w:name="_Toc144924213"/>
      <w:bookmarkStart w:id="576" w:name="_Toc153186226"/>
      <w:bookmarkStart w:id="577" w:name="_Toc151494083"/>
    </w:p>
    <w:p>
      <w:pPr>
        <w:widowControl/>
        <w:adjustRightInd/>
        <w:spacing w:line="300" w:lineRule="auto"/>
        <w:jc w:val="center"/>
        <w:rPr>
          <w:rFonts w:hint="eastAsia" w:ascii="黑体" w:hAnsi="黑体" w:eastAsia="黑体" w:cs="黑体"/>
        </w:rPr>
      </w:pPr>
      <w:r>
        <w:rPr>
          <w:rFonts w:hint="eastAsia" w:ascii="黑体" w:hAnsi="黑体" w:eastAsia="黑体" w:cs="黑体"/>
        </w:rPr>
        <w:t>（资料性）</w:t>
      </w:r>
      <w:bookmarkEnd w:id="573"/>
      <w:bookmarkEnd w:id="574"/>
    </w:p>
    <w:p>
      <w:pPr>
        <w:widowControl/>
        <w:adjustRightInd/>
        <w:spacing w:line="300" w:lineRule="auto"/>
        <w:jc w:val="center"/>
        <w:rPr>
          <w:rFonts w:hint="eastAsia" w:ascii="黑体" w:hAnsi="黑体" w:eastAsia="黑体" w:cs="黑体"/>
        </w:rPr>
      </w:pPr>
      <w:r>
        <w:rPr>
          <w:rFonts w:hint="eastAsia" w:ascii="黑体" w:hAnsi="黑体" w:eastAsia="黑体" w:cs="黑体"/>
        </w:rPr>
        <w:t>碳排放管理体系建设评价报告编写大纲及报告格式</w:t>
      </w:r>
      <w:bookmarkEnd w:id="575"/>
      <w:bookmarkEnd w:id="576"/>
      <w:bookmarkEnd w:id="577"/>
    </w:p>
    <w:p>
      <w:pPr>
        <w:pStyle w:val="86"/>
        <w:numPr>
          <w:ilvl w:val="1"/>
          <w:numId w:val="0"/>
        </w:numPr>
        <w:spacing w:before="156" w:after="156"/>
      </w:pPr>
      <w:bookmarkStart w:id="578" w:name="_Toc153186227"/>
      <w:bookmarkStart w:id="579" w:name="_Toc144924214"/>
      <w:bookmarkStart w:id="580" w:name="_Toc151494084"/>
      <w:r>
        <w:rPr>
          <w:rFonts w:hint="eastAsia"/>
        </w:rPr>
        <w:t>B.1 报告正文编写提纲</w:t>
      </w:r>
      <w:bookmarkEnd w:id="578"/>
      <w:bookmarkEnd w:id="579"/>
      <w:bookmarkEnd w:id="580"/>
    </w:p>
    <w:p>
      <w:pPr>
        <w:pStyle w:val="87"/>
        <w:numPr>
          <w:ilvl w:val="2"/>
          <w:numId w:val="0"/>
        </w:numPr>
        <w:spacing w:before="156" w:after="156"/>
      </w:pPr>
      <w:bookmarkStart w:id="581" w:name="_Toc144924215"/>
      <w:bookmarkStart w:id="582" w:name="_Toc153186228"/>
      <w:bookmarkStart w:id="583" w:name="_Toc151494085"/>
      <w:r>
        <w:rPr>
          <w:rFonts w:hint="eastAsia"/>
        </w:rPr>
        <w:t>B.1.1 目录</w:t>
      </w:r>
      <w:bookmarkEnd w:id="581"/>
      <w:bookmarkEnd w:id="582"/>
      <w:bookmarkEnd w:id="583"/>
    </w:p>
    <w:p>
      <w:pPr>
        <w:pStyle w:val="87"/>
        <w:numPr>
          <w:ilvl w:val="2"/>
          <w:numId w:val="0"/>
        </w:numPr>
        <w:spacing w:before="156" w:after="156"/>
      </w:pPr>
      <w:bookmarkStart w:id="584" w:name="_Toc153186229"/>
      <w:bookmarkStart w:id="585" w:name="_Toc144924216"/>
      <w:bookmarkStart w:id="586" w:name="_Toc151494086"/>
      <w:r>
        <w:rPr>
          <w:rFonts w:hint="eastAsia"/>
        </w:rPr>
        <w:t>B.1.2 正文</w:t>
      </w:r>
      <w:bookmarkEnd w:id="584"/>
      <w:bookmarkEnd w:id="585"/>
      <w:bookmarkEnd w:id="586"/>
    </w:p>
    <w:p>
      <w:pPr>
        <w:pStyle w:val="64"/>
        <w:ind w:firstLine="420" w:firstLineChars="200"/>
      </w:pPr>
      <w:r>
        <w:rPr>
          <w:rFonts w:hint="eastAsia"/>
        </w:rPr>
        <w:t>正文，至少包括以下内容：</w:t>
      </w:r>
    </w:p>
    <w:p>
      <w:pPr>
        <w:pStyle w:val="64"/>
        <w:ind w:firstLine="420" w:firstLineChars="200"/>
      </w:pPr>
      <w:r>
        <w:rPr>
          <w:rFonts w:hint="eastAsia"/>
        </w:rPr>
        <w:t>a）概述。包括以下内容：</w:t>
      </w:r>
    </w:p>
    <w:p>
      <w:pPr>
        <w:pStyle w:val="64"/>
        <w:ind w:firstLine="420" w:firstLineChars="200"/>
      </w:pPr>
      <w:r>
        <w:rPr>
          <w:rFonts w:hint="eastAsia"/>
        </w:rPr>
        <w:t>——评价目的；</w:t>
      </w:r>
    </w:p>
    <w:p>
      <w:pPr>
        <w:pStyle w:val="64"/>
        <w:ind w:firstLine="420" w:firstLineChars="200"/>
      </w:pPr>
      <w:r>
        <w:rPr>
          <w:rFonts w:hint="eastAsia"/>
        </w:rPr>
        <w:t>——评价范围；</w:t>
      </w:r>
    </w:p>
    <w:p>
      <w:pPr>
        <w:pStyle w:val="64"/>
        <w:ind w:firstLine="420" w:firstLineChars="200"/>
      </w:pPr>
      <w:r>
        <w:rPr>
          <w:rFonts w:hint="eastAsia"/>
        </w:rPr>
        <w:t>——评价准则。</w:t>
      </w:r>
    </w:p>
    <w:p>
      <w:pPr>
        <w:pStyle w:val="64"/>
        <w:ind w:firstLine="420" w:firstLineChars="200"/>
      </w:pPr>
      <w:r>
        <w:t>b</w:t>
      </w:r>
      <w:r>
        <w:rPr>
          <w:rFonts w:hint="eastAsia"/>
        </w:rPr>
        <w:t>）评价过程及方法。包括以下内容：</w:t>
      </w:r>
    </w:p>
    <w:p>
      <w:pPr>
        <w:pStyle w:val="64"/>
        <w:ind w:firstLine="420" w:firstLineChars="200"/>
      </w:pPr>
      <w:r>
        <w:rPr>
          <w:rFonts w:hint="eastAsia"/>
        </w:rPr>
        <w:t>——评价组安排；</w:t>
      </w:r>
    </w:p>
    <w:p>
      <w:pPr>
        <w:pStyle w:val="64"/>
        <w:ind w:firstLine="420" w:firstLineChars="200"/>
      </w:pPr>
      <w:r>
        <w:rPr>
          <w:rFonts w:hint="eastAsia"/>
        </w:rPr>
        <w:t>——文件评价；</w:t>
      </w:r>
    </w:p>
    <w:p>
      <w:pPr>
        <w:pStyle w:val="64"/>
        <w:ind w:firstLine="420" w:firstLineChars="200"/>
      </w:pPr>
      <w:r>
        <w:rPr>
          <w:rFonts w:hint="eastAsia"/>
        </w:rPr>
        <w:t>——现场评价。</w:t>
      </w:r>
    </w:p>
    <w:p>
      <w:pPr>
        <w:pStyle w:val="64"/>
        <w:ind w:firstLine="420" w:firstLineChars="200"/>
      </w:pPr>
      <w:r>
        <w:t>c</w:t>
      </w:r>
      <w:r>
        <w:rPr>
          <w:rFonts w:hint="eastAsia"/>
        </w:rPr>
        <w:t>）评价发现。包括以下内容：</w:t>
      </w:r>
    </w:p>
    <w:p>
      <w:pPr>
        <w:pStyle w:val="64"/>
        <w:ind w:firstLine="420" w:firstLineChars="200"/>
      </w:pPr>
      <w:r>
        <w:rPr>
          <w:rFonts w:hint="eastAsia"/>
        </w:rPr>
        <w:t>——组织基本信息；</w:t>
      </w:r>
    </w:p>
    <w:p>
      <w:pPr>
        <w:pStyle w:val="64"/>
        <w:ind w:firstLine="420" w:firstLineChars="200"/>
      </w:pPr>
      <w:r>
        <w:rPr>
          <w:rFonts w:hint="eastAsia"/>
        </w:rPr>
        <w:t>——组织碳排放管理体系建设实施概况；</w:t>
      </w:r>
    </w:p>
    <w:p>
      <w:pPr>
        <w:pStyle w:val="64"/>
        <w:ind w:firstLine="420" w:firstLineChars="200"/>
      </w:pPr>
      <w:r>
        <w:rPr>
          <w:rFonts w:hint="eastAsia"/>
        </w:rPr>
        <w:t>——组织碳排放管理体系组织构建；</w:t>
      </w:r>
    </w:p>
    <w:p>
      <w:pPr>
        <w:pStyle w:val="64"/>
        <w:ind w:firstLine="420" w:firstLineChars="200"/>
      </w:pPr>
      <w:r>
        <w:rPr>
          <w:rFonts w:hint="eastAsia"/>
        </w:rPr>
        <w:t>——组织碳排放管理体系策划；</w:t>
      </w:r>
    </w:p>
    <w:p>
      <w:pPr>
        <w:pStyle w:val="64"/>
        <w:ind w:firstLine="420" w:firstLineChars="200"/>
      </w:pPr>
      <w:r>
        <w:rPr>
          <w:rFonts w:hint="eastAsia"/>
        </w:rPr>
        <w:t>——组织碳排放管理体系实施；</w:t>
      </w:r>
    </w:p>
    <w:p>
      <w:pPr>
        <w:pStyle w:val="64"/>
        <w:ind w:firstLine="420" w:firstLineChars="200"/>
      </w:pPr>
      <w:r>
        <w:rPr>
          <w:rFonts w:hint="eastAsia"/>
        </w:rPr>
        <w:t>——组织碳排放管理体系支持；</w:t>
      </w:r>
    </w:p>
    <w:p>
      <w:pPr>
        <w:pStyle w:val="64"/>
        <w:ind w:firstLine="420" w:firstLineChars="200"/>
      </w:pPr>
      <w:r>
        <w:rPr>
          <w:rFonts w:hint="eastAsia"/>
        </w:rPr>
        <w:t>——组织碳排放管理体系运行；</w:t>
      </w:r>
    </w:p>
    <w:p>
      <w:pPr>
        <w:pStyle w:val="64"/>
        <w:ind w:firstLine="420" w:firstLineChars="200"/>
      </w:pPr>
      <w:r>
        <w:rPr>
          <w:rFonts w:hint="eastAsia"/>
        </w:rPr>
        <w:t>——组织碳排放管理体系绩效评价；</w:t>
      </w:r>
    </w:p>
    <w:p>
      <w:pPr>
        <w:pStyle w:val="64"/>
        <w:ind w:firstLine="420" w:firstLineChars="200"/>
      </w:pPr>
      <w:r>
        <w:rPr>
          <w:rFonts w:hint="eastAsia"/>
        </w:rPr>
        <w:t>——组织碳排放管理体系改进。</w:t>
      </w:r>
    </w:p>
    <w:p>
      <w:pPr>
        <w:pStyle w:val="64"/>
        <w:ind w:firstLine="420" w:firstLineChars="200"/>
      </w:pPr>
      <w:r>
        <w:t>d</w:t>
      </w:r>
      <w:r>
        <w:rPr>
          <w:rFonts w:hint="eastAsia"/>
        </w:rPr>
        <w:t>）评价结论；</w:t>
      </w:r>
    </w:p>
    <w:p>
      <w:pPr>
        <w:pStyle w:val="64"/>
        <w:ind w:firstLine="420" w:firstLineChars="200"/>
      </w:pPr>
      <w:r>
        <w:t>e</w:t>
      </w:r>
      <w:r>
        <w:rPr>
          <w:rFonts w:hint="eastAsia"/>
        </w:rPr>
        <w:t>）附件。包括以下内容：</w:t>
      </w:r>
    </w:p>
    <w:p>
      <w:pPr>
        <w:pStyle w:val="64"/>
        <w:ind w:firstLine="420" w:firstLineChars="200"/>
      </w:pPr>
      <w:r>
        <w:rPr>
          <w:rFonts w:hint="eastAsia"/>
        </w:rPr>
        <w:t>——定性评价指标评分细则表、定量评价指标评分细则表；</w:t>
      </w:r>
    </w:p>
    <w:p>
      <w:pPr>
        <w:pStyle w:val="64"/>
        <w:ind w:firstLine="420" w:firstLineChars="200"/>
      </w:pPr>
      <w:r>
        <w:rPr>
          <w:rFonts w:hint="eastAsia"/>
        </w:rPr>
        <w:t>——不符合、纠正及纠正措施清单；</w:t>
      </w:r>
    </w:p>
    <w:p>
      <w:pPr>
        <w:pStyle w:val="64"/>
        <w:ind w:firstLine="420" w:firstLineChars="200"/>
      </w:pPr>
      <w:r>
        <w:rPr>
          <w:rFonts w:hint="eastAsia"/>
        </w:rPr>
        <w:t>——参考资料。</w:t>
      </w:r>
    </w:p>
    <w:p>
      <w:pPr>
        <w:widowControl/>
        <w:adjustRightInd/>
        <w:spacing w:line="240" w:lineRule="auto"/>
        <w:jc w:val="left"/>
        <w:rPr>
          <w:rFonts w:ascii="宋体" w:hAnsi="Times New Roman"/>
          <w:kern w:val="0"/>
          <w:szCs w:val="20"/>
        </w:rPr>
      </w:pPr>
      <w:r>
        <w:br w:type="page"/>
      </w:r>
    </w:p>
    <w:p>
      <w:pPr>
        <w:pStyle w:val="86"/>
        <w:numPr>
          <w:ilvl w:val="1"/>
          <w:numId w:val="0"/>
        </w:numPr>
        <w:spacing w:before="156" w:after="156"/>
      </w:pPr>
      <w:bookmarkStart w:id="587" w:name="_Toc151494087"/>
      <w:bookmarkStart w:id="588" w:name="_Toc153186230"/>
      <w:bookmarkStart w:id="589" w:name="_Toc144924217"/>
      <w:r>
        <w:rPr>
          <w:rFonts w:hint="eastAsia"/>
        </w:rPr>
        <w:t>B.2报告封面及扉页格式</w:t>
      </w:r>
      <w:bookmarkEnd w:id="587"/>
      <w:bookmarkEnd w:id="588"/>
      <w:bookmarkEnd w:id="589"/>
    </w:p>
    <w:p>
      <w:pPr>
        <w:pStyle w:val="64"/>
      </w:pPr>
    </w:p>
    <w:p>
      <w:pPr>
        <w:pStyle w:val="64"/>
      </w:pPr>
    </w:p>
    <w:p>
      <w:pPr>
        <w:pStyle w:val="64"/>
      </w:pPr>
    </w:p>
    <w:p>
      <w:pPr>
        <w:pStyle w:val="64"/>
      </w:pPr>
    </w:p>
    <w:p>
      <w:pPr>
        <w:pStyle w:val="64"/>
      </w:pPr>
    </w:p>
    <w:p>
      <w:pPr>
        <w:pStyle w:val="64"/>
      </w:pPr>
    </w:p>
    <w:p>
      <w:pPr>
        <w:jc w:val="center"/>
        <w:rPr>
          <w:rFonts w:hint="eastAsia" w:ascii="黑体" w:hAnsi="黑体" w:eastAsia="黑体"/>
          <w:sz w:val="36"/>
          <w:szCs w:val="36"/>
        </w:rPr>
      </w:pPr>
      <w:r>
        <w:rPr>
          <w:rFonts w:hint="eastAsia" w:ascii="黑体" w:hAnsi="黑体" w:eastAsia="黑体"/>
          <w:sz w:val="36"/>
          <w:szCs w:val="36"/>
        </w:rPr>
        <w:t>XXX组织</w:t>
      </w:r>
    </w:p>
    <w:p>
      <w:pPr>
        <w:jc w:val="center"/>
        <w:rPr>
          <w:rFonts w:hint="eastAsia" w:ascii="黑体" w:hAnsi="黑体" w:eastAsia="黑体"/>
          <w:sz w:val="36"/>
          <w:szCs w:val="36"/>
        </w:rPr>
      </w:pPr>
      <w:r>
        <w:rPr>
          <w:rFonts w:hint="eastAsia" w:ascii="黑体" w:hAnsi="黑体" w:eastAsia="黑体"/>
          <w:sz w:val="36"/>
          <w:szCs w:val="36"/>
        </w:rPr>
        <w:t>碳排放管理体系建设评价报告</w:t>
      </w:r>
    </w:p>
    <w:p>
      <w:pPr>
        <w:jc w:val="center"/>
        <w:rPr>
          <w:rFonts w:hint="eastAsia" w:ascii="黑体" w:hAnsi="黑体" w:eastAsia="黑体"/>
          <w:sz w:val="36"/>
          <w:szCs w:val="36"/>
        </w:rPr>
      </w:pPr>
      <w:r>
        <w:rPr>
          <w:rFonts w:hint="eastAsia" w:ascii="黑体" w:hAnsi="黑体" w:eastAsia="黑体"/>
          <w:sz w:val="36"/>
          <w:szCs w:val="36"/>
        </w:rPr>
        <w:t>（封面模板）</w:t>
      </w:r>
    </w:p>
    <w:p>
      <w:pPr>
        <w:jc w:val="center"/>
        <w:rPr>
          <w:rFonts w:hint="eastAsia" w:ascii="黑体" w:hAnsi="黑体" w:eastAsia="黑体"/>
          <w:sz w:val="36"/>
          <w:szCs w:val="36"/>
        </w:rPr>
      </w:pPr>
    </w:p>
    <w:p>
      <w:pPr>
        <w:jc w:val="center"/>
        <w:rPr>
          <w:rFonts w:hint="eastAsia" w:ascii="黑体" w:hAnsi="黑体" w:eastAsia="黑体"/>
          <w:sz w:val="36"/>
          <w:szCs w:val="36"/>
        </w:rPr>
      </w:pPr>
      <w:r>
        <w:rPr>
          <w:rFonts w:hint="eastAsia" w:ascii="黑体" w:hAnsi="黑体" w:eastAsia="黑体"/>
          <w:sz w:val="36"/>
          <w:szCs w:val="36"/>
        </w:rPr>
        <w:t>报告书编号</w:t>
      </w:r>
    </w:p>
    <w:p>
      <w:pPr>
        <w:pStyle w:val="64"/>
      </w:pPr>
    </w:p>
    <w:p>
      <w:pPr>
        <w:pStyle w:val="64"/>
      </w:pPr>
    </w:p>
    <w:p>
      <w:pPr>
        <w:pStyle w:val="64"/>
      </w:pPr>
    </w:p>
    <w:p>
      <w:pPr>
        <w:pStyle w:val="64"/>
      </w:pPr>
    </w:p>
    <w:p>
      <w:pPr>
        <w:pStyle w:val="64"/>
      </w:pPr>
    </w:p>
    <w:p>
      <w:pPr>
        <w:pStyle w:val="64"/>
      </w:pPr>
    </w:p>
    <w:p>
      <w:pPr>
        <w:pStyle w:val="64"/>
      </w:pPr>
    </w:p>
    <w:p>
      <w:pPr>
        <w:pStyle w:val="64"/>
      </w:pPr>
    </w:p>
    <w:p>
      <w:pPr>
        <w:pStyle w:val="64"/>
      </w:pPr>
    </w:p>
    <w:p>
      <w:pPr>
        <w:pStyle w:val="64"/>
      </w:pPr>
    </w:p>
    <w:p>
      <w:pPr>
        <w:pStyle w:val="64"/>
      </w:pPr>
    </w:p>
    <w:p>
      <w:pPr>
        <w:pStyle w:val="64"/>
      </w:pPr>
    </w:p>
    <w:p>
      <w:pPr>
        <w:pStyle w:val="64"/>
      </w:pPr>
    </w:p>
    <w:p>
      <w:pPr>
        <w:pStyle w:val="64"/>
      </w:pPr>
    </w:p>
    <w:p>
      <w:pPr>
        <w:pStyle w:val="64"/>
      </w:pPr>
    </w:p>
    <w:p>
      <w:pPr>
        <w:ind w:left="3259" w:leftChars="1552"/>
        <w:jc w:val="left"/>
        <w:rPr>
          <w:rFonts w:hint="eastAsia" w:ascii="宋体" w:hAnsi="宋体"/>
        </w:rPr>
      </w:pPr>
      <w:r>
        <w:rPr>
          <w:rFonts w:hint="eastAsia" w:ascii="宋体" w:hAnsi="宋体"/>
        </w:rPr>
        <w:t>编写单位：</w:t>
      </w:r>
      <w:r>
        <w:rPr>
          <w:rFonts w:hint="eastAsia" w:ascii="宋体" w:hAnsi="宋体"/>
          <w:u w:val="single"/>
        </w:rPr>
        <w:t xml:space="preserve">                      </w:t>
      </w:r>
      <w:r>
        <w:rPr>
          <w:rFonts w:hint="eastAsia" w:ascii="宋体" w:hAnsi="宋体"/>
        </w:rPr>
        <w:t>（公章）</w:t>
      </w:r>
    </w:p>
    <w:p>
      <w:pPr>
        <w:ind w:left="3259" w:leftChars="1552"/>
        <w:jc w:val="left"/>
        <w:rPr>
          <w:rFonts w:hint="eastAsia" w:ascii="宋体" w:hAnsi="宋体"/>
        </w:rPr>
      </w:pPr>
      <w:r>
        <w:rPr>
          <w:rFonts w:hint="eastAsia" w:ascii="宋体" w:hAnsi="宋体"/>
        </w:rPr>
        <w:t>编 写 人：</w:t>
      </w:r>
      <w:r>
        <w:rPr>
          <w:rFonts w:hint="eastAsia" w:ascii="宋体" w:hAnsi="宋体"/>
          <w:u w:val="single"/>
        </w:rPr>
        <w:t xml:space="preserve">                      </w:t>
      </w:r>
    </w:p>
    <w:p>
      <w:pPr>
        <w:ind w:left="3259" w:leftChars="1552"/>
        <w:jc w:val="left"/>
        <w:rPr>
          <w:rFonts w:hint="eastAsia" w:ascii="宋体" w:hAnsi="宋体"/>
        </w:rPr>
      </w:pPr>
      <w:r>
        <w:rPr>
          <w:rFonts w:hint="eastAsia" w:ascii="宋体" w:hAnsi="宋体"/>
        </w:rPr>
        <w:t>责 任 人：</w:t>
      </w:r>
      <w:r>
        <w:rPr>
          <w:rFonts w:hint="eastAsia" w:ascii="宋体" w:hAnsi="宋体"/>
          <w:u w:val="single"/>
        </w:rPr>
        <w:t xml:space="preserve">                      </w:t>
      </w:r>
    </w:p>
    <w:p>
      <w:pPr>
        <w:ind w:left="3259" w:leftChars="1552"/>
        <w:jc w:val="left"/>
        <w:rPr>
          <w:rFonts w:hint="eastAsia" w:ascii="宋体" w:hAnsi="宋体"/>
        </w:rPr>
      </w:pPr>
      <w:r>
        <w:rPr>
          <w:rFonts w:hint="eastAsia" w:ascii="宋体" w:hAnsi="宋体"/>
        </w:rPr>
        <w:t>报告日期：</w:t>
      </w:r>
      <w:r>
        <w:rPr>
          <w:rFonts w:hint="eastAsia" w:ascii="宋体" w:hAnsi="宋体"/>
          <w:u w:val="single"/>
        </w:rPr>
        <w:t xml:space="preserve">                      </w:t>
      </w:r>
    </w:p>
    <w:p>
      <w:pPr>
        <w:ind w:left="3259" w:leftChars="1552"/>
        <w:jc w:val="left"/>
        <w:rPr>
          <w:rFonts w:hint="eastAsia" w:ascii="宋体" w:hAnsi="宋体"/>
        </w:rPr>
      </w:pPr>
    </w:p>
    <w:p>
      <w:pPr>
        <w:pStyle w:val="64"/>
      </w:pPr>
    </w:p>
    <w:p>
      <w:pPr>
        <w:pStyle w:val="64"/>
      </w:pPr>
    </w:p>
    <w:p>
      <w:pPr>
        <w:pStyle w:val="64"/>
      </w:pPr>
    </w:p>
    <w:p>
      <w:pPr>
        <w:pStyle w:val="64"/>
      </w:pPr>
    </w:p>
    <w:p>
      <w:pPr>
        <w:pStyle w:val="64"/>
      </w:pPr>
    </w:p>
    <w:p>
      <w:pPr>
        <w:pStyle w:val="64"/>
      </w:pPr>
    </w:p>
    <w:p>
      <w:pPr>
        <w:widowControl/>
        <w:adjustRightInd/>
        <w:spacing w:line="240" w:lineRule="auto"/>
        <w:jc w:val="left"/>
        <w:rPr>
          <w:rFonts w:ascii="宋体" w:hAnsi="Times New Roman"/>
          <w:kern w:val="0"/>
          <w:szCs w:val="20"/>
        </w:rPr>
      </w:pPr>
      <w:r>
        <w:br w:type="page"/>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4"/>
        <w:gridCol w:w="1362"/>
        <w:gridCol w:w="1453"/>
        <w:gridCol w:w="1362"/>
        <w:gridCol w:w="1454"/>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tcPr>
          <w:p>
            <w:pPr>
              <w:pStyle w:val="64"/>
            </w:pPr>
            <w:r>
              <w:rPr>
                <w:rFonts w:hint="eastAsia"/>
              </w:rPr>
              <w:t>组织名称</w:t>
            </w:r>
          </w:p>
        </w:tc>
        <w:tc>
          <w:tcPr>
            <w:tcW w:w="7890" w:type="dxa"/>
            <w:gridSpan w:val="5"/>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tcPr>
          <w:p>
            <w:pPr>
              <w:pStyle w:val="64"/>
            </w:pPr>
            <w:r>
              <w:rPr>
                <w:rFonts w:hint="eastAsia"/>
              </w:rPr>
              <w:t>组织地址</w:t>
            </w:r>
          </w:p>
        </w:tc>
        <w:tc>
          <w:tcPr>
            <w:tcW w:w="7890" w:type="dxa"/>
            <w:gridSpan w:val="5"/>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tcPr>
          <w:p>
            <w:pPr>
              <w:pStyle w:val="64"/>
            </w:pPr>
            <w:r>
              <w:rPr>
                <w:rFonts w:hint="eastAsia"/>
              </w:rPr>
              <w:t>评价时间</w:t>
            </w:r>
          </w:p>
        </w:tc>
        <w:tc>
          <w:tcPr>
            <w:tcW w:w="7890" w:type="dxa"/>
            <w:gridSpan w:val="5"/>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tcPr>
          <w:p>
            <w:pPr>
              <w:pStyle w:val="64"/>
            </w:pPr>
            <w:r>
              <w:rPr>
                <w:rFonts w:hint="eastAsia"/>
              </w:rPr>
              <w:t>评价范围</w:t>
            </w:r>
          </w:p>
        </w:tc>
        <w:tc>
          <w:tcPr>
            <w:tcW w:w="7890" w:type="dxa"/>
            <w:gridSpan w:val="5"/>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tcPr>
          <w:p>
            <w:pPr>
              <w:pStyle w:val="64"/>
            </w:pPr>
            <w:r>
              <w:rPr>
                <w:rFonts w:hint="eastAsia"/>
              </w:rPr>
              <w:t>评价结果</w:t>
            </w:r>
          </w:p>
        </w:tc>
        <w:tc>
          <w:tcPr>
            <w:tcW w:w="7890" w:type="dxa"/>
            <w:gridSpan w:val="5"/>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vAlign w:val="center"/>
          </w:tcPr>
          <w:p>
            <w:pPr>
              <w:pStyle w:val="64"/>
            </w:pPr>
          </w:p>
          <w:p>
            <w:pPr>
              <w:pStyle w:val="64"/>
            </w:pPr>
          </w:p>
          <w:p>
            <w:pPr>
              <w:pStyle w:val="64"/>
            </w:pPr>
          </w:p>
          <w:p>
            <w:pPr>
              <w:pStyle w:val="64"/>
            </w:pPr>
            <w:r>
              <w:rPr>
                <w:rFonts w:hint="eastAsia"/>
              </w:rPr>
              <w:t>概述</w:t>
            </w:r>
          </w:p>
          <w:p>
            <w:pPr>
              <w:pStyle w:val="64"/>
            </w:pPr>
          </w:p>
          <w:p>
            <w:pPr>
              <w:pStyle w:val="64"/>
            </w:pPr>
          </w:p>
          <w:p>
            <w:pPr>
              <w:pStyle w:val="64"/>
            </w:pPr>
          </w:p>
        </w:tc>
        <w:tc>
          <w:tcPr>
            <w:tcW w:w="7890" w:type="dxa"/>
            <w:gridSpan w:val="5"/>
          </w:tcPr>
          <w:p>
            <w:pPr>
              <w:pStyle w:val="64"/>
            </w:pPr>
          </w:p>
          <w:p>
            <w:pPr>
              <w:rPr>
                <w:rFonts w:ascii="宋体" w:hAnsi="Times New Roman"/>
                <w:kern w:val="0"/>
                <w:szCs w:val="20"/>
              </w:rP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vAlign w:val="center"/>
          </w:tcPr>
          <w:p>
            <w:pPr>
              <w:pStyle w:val="64"/>
            </w:pPr>
          </w:p>
          <w:p>
            <w:pPr>
              <w:pStyle w:val="64"/>
            </w:pPr>
          </w:p>
          <w:p>
            <w:pPr>
              <w:pStyle w:val="64"/>
            </w:pPr>
          </w:p>
          <w:p>
            <w:pPr>
              <w:pStyle w:val="64"/>
            </w:pPr>
            <w:r>
              <w:rPr>
                <w:rFonts w:hint="eastAsia"/>
              </w:rPr>
              <w:t>评价过程及方法</w:t>
            </w:r>
          </w:p>
          <w:p>
            <w:pPr>
              <w:pStyle w:val="64"/>
            </w:pPr>
          </w:p>
          <w:p>
            <w:pPr>
              <w:pStyle w:val="64"/>
            </w:pPr>
          </w:p>
          <w:p>
            <w:pPr>
              <w:pStyle w:val="64"/>
            </w:pPr>
          </w:p>
        </w:tc>
        <w:tc>
          <w:tcPr>
            <w:tcW w:w="7890" w:type="dxa"/>
            <w:gridSpan w:val="5"/>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vAlign w:val="center"/>
          </w:tcPr>
          <w:p>
            <w:pPr>
              <w:pStyle w:val="64"/>
            </w:pPr>
          </w:p>
          <w:p>
            <w:pPr>
              <w:pStyle w:val="64"/>
            </w:pPr>
          </w:p>
          <w:p>
            <w:pPr>
              <w:pStyle w:val="64"/>
            </w:pPr>
          </w:p>
          <w:p>
            <w:pPr>
              <w:pStyle w:val="64"/>
            </w:pPr>
            <w:r>
              <w:rPr>
                <w:rFonts w:hint="eastAsia"/>
              </w:rPr>
              <w:t>评价发现</w:t>
            </w:r>
          </w:p>
          <w:p>
            <w:pPr>
              <w:pStyle w:val="64"/>
            </w:pPr>
          </w:p>
          <w:p>
            <w:pPr>
              <w:pStyle w:val="64"/>
            </w:pPr>
          </w:p>
          <w:p>
            <w:pPr>
              <w:pStyle w:val="64"/>
            </w:pPr>
          </w:p>
        </w:tc>
        <w:tc>
          <w:tcPr>
            <w:tcW w:w="7890" w:type="dxa"/>
            <w:gridSpan w:val="5"/>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vAlign w:val="center"/>
          </w:tcPr>
          <w:p>
            <w:pPr>
              <w:pStyle w:val="64"/>
            </w:pPr>
          </w:p>
          <w:p>
            <w:pPr>
              <w:pStyle w:val="64"/>
            </w:pPr>
          </w:p>
          <w:p>
            <w:pPr>
              <w:pStyle w:val="64"/>
            </w:pPr>
          </w:p>
          <w:p>
            <w:pPr>
              <w:pStyle w:val="64"/>
            </w:pPr>
            <w:r>
              <w:rPr>
                <w:rFonts w:hint="eastAsia"/>
              </w:rPr>
              <w:t>评价结论</w:t>
            </w:r>
          </w:p>
          <w:p>
            <w:pPr>
              <w:pStyle w:val="64"/>
            </w:pPr>
          </w:p>
          <w:p>
            <w:pPr>
              <w:pStyle w:val="64"/>
            </w:pPr>
          </w:p>
          <w:p>
            <w:pPr>
              <w:pStyle w:val="64"/>
            </w:pPr>
          </w:p>
        </w:tc>
        <w:tc>
          <w:tcPr>
            <w:tcW w:w="7890" w:type="dxa"/>
            <w:gridSpan w:val="5"/>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4" w:type="dxa"/>
            <w:gridSpan w:val="6"/>
          </w:tcPr>
          <w:p>
            <w:pPr>
              <w:pStyle w:val="64"/>
            </w:pPr>
            <w:r>
              <w:rPr>
                <w:rFonts w:hint="eastAsia"/>
              </w:rPr>
              <w:t>评价组组成及报告批准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tcPr>
          <w:p>
            <w:pPr>
              <w:pStyle w:val="64"/>
            </w:pPr>
            <w:r>
              <w:rPr>
                <w:rFonts w:hint="eastAsia"/>
              </w:rPr>
              <w:t>评价组组长</w:t>
            </w:r>
          </w:p>
        </w:tc>
        <w:tc>
          <w:tcPr>
            <w:tcW w:w="1362" w:type="dxa"/>
          </w:tcPr>
          <w:p>
            <w:pPr>
              <w:pStyle w:val="64"/>
            </w:pPr>
          </w:p>
        </w:tc>
        <w:tc>
          <w:tcPr>
            <w:tcW w:w="1453" w:type="dxa"/>
          </w:tcPr>
          <w:p>
            <w:pPr>
              <w:pStyle w:val="64"/>
            </w:pPr>
            <w:r>
              <w:rPr>
                <w:rFonts w:hint="eastAsia"/>
              </w:rPr>
              <w:t>签名</w:t>
            </w:r>
          </w:p>
        </w:tc>
        <w:tc>
          <w:tcPr>
            <w:tcW w:w="1362" w:type="dxa"/>
          </w:tcPr>
          <w:p>
            <w:pPr>
              <w:pStyle w:val="64"/>
            </w:pPr>
          </w:p>
        </w:tc>
        <w:tc>
          <w:tcPr>
            <w:tcW w:w="1454" w:type="dxa"/>
          </w:tcPr>
          <w:p>
            <w:pPr>
              <w:pStyle w:val="64"/>
            </w:pPr>
            <w:r>
              <w:rPr>
                <w:rFonts w:hint="eastAsia"/>
              </w:rPr>
              <w:t>日期</w:t>
            </w:r>
          </w:p>
        </w:tc>
        <w:tc>
          <w:tcPr>
            <w:tcW w:w="2259" w:type="dxa"/>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tcPr>
          <w:p>
            <w:pPr>
              <w:pStyle w:val="64"/>
            </w:pPr>
            <w:r>
              <w:rPr>
                <w:rFonts w:hint="eastAsia"/>
              </w:rPr>
              <w:t>评价组组员</w:t>
            </w:r>
          </w:p>
        </w:tc>
        <w:tc>
          <w:tcPr>
            <w:tcW w:w="1362" w:type="dxa"/>
          </w:tcPr>
          <w:p>
            <w:pPr>
              <w:pStyle w:val="64"/>
            </w:pPr>
          </w:p>
        </w:tc>
        <w:tc>
          <w:tcPr>
            <w:tcW w:w="1453" w:type="dxa"/>
          </w:tcPr>
          <w:p>
            <w:pPr>
              <w:pStyle w:val="64"/>
            </w:pPr>
            <w:r>
              <w:rPr>
                <w:rFonts w:hint="eastAsia"/>
              </w:rPr>
              <w:t>签名</w:t>
            </w:r>
          </w:p>
        </w:tc>
        <w:tc>
          <w:tcPr>
            <w:tcW w:w="1362" w:type="dxa"/>
          </w:tcPr>
          <w:p>
            <w:pPr>
              <w:pStyle w:val="64"/>
            </w:pPr>
          </w:p>
        </w:tc>
        <w:tc>
          <w:tcPr>
            <w:tcW w:w="1454" w:type="dxa"/>
          </w:tcPr>
          <w:p>
            <w:pPr>
              <w:pStyle w:val="64"/>
            </w:pPr>
            <w:r>
              <w:rPr>
                <w:rFonts w:hint="eastAsia"/>
              </w:rPr>
              <w:t>日期</w:t>
            </w:r>
          </w:p>
        </w:tc>
        <w:tc>
          <w:tcPr>
            <w:tcW w:w="2259" w:type="dxa"/>
          </w:tcPr>
          <w:p>
            <w:pPr>
              <w:pStyle w:val="6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4" w:type="dxa"/>
          </w:tcPr>
          <w:p>
            <w:pPr>
              <w:pStyle w:val="64"/>
            </w:pPr>
            <w:r>
              <w:rPr>
                <w:rFonts w:hint="eastAsia"/>
              </w:rPr>
              <w:t>报告批准人</w:t>
            </w:r>
          </w:p>
        </w:tc>
        <w:tc>
          <w:tcPr>
            <w:tcW w:w="1362" w:type="dxa"/>
          </w:tcPr>
          <w:p>
            <w:pPr>
              <w:pStyle w:val="64"/>
            </w:pPr>
          </w:p>
        </w:tc>
        <w:tc>
          <w:tcPr>
            <w:tcW w:w="1453" w:type="dxa"/>
          </w:tcPr>
          <w:p>
            <w:pPr>
              <w:pStyle w:val="64"/>
            </w:pPr>
            <w:r>
              <w:rPr>
                <w:rFonts w:hint="eastAsia"/>
              </w:rPr>
              <w:t>签名</w:t>
            </w:r>
          </w:p>
        </w:tc>
        <w:tc>
          <w:tcPr>
            <w:tcW w:w="1362" w:type="dxa"/>
          </w:tcPr>
          <w:p>
            <w:pPr>
              <w:pStyle w:val="64"/>
            </w:pPr>
          </w:p>
        </w:tc>
        <w:tc>
          <w:tcPr>
            <w:tcW w:w="1454" w:type="dxa"/>
          </w:tcPr>
          <w:p>
            <w:pPr>
              <w:pStyle w:val="64"/>
            </w:pPr>
            <w:r>
              <w:rPr>
                <w:rFonts w:hint="eastAsia"/>
              </w:rPr>
              <w:t>日期</w:t>
            </w:r>
          </w:p>
        </w:tc>
        <w:tc>
          <w:tcPr>
            <w:tcW w:w="2259" w:type="dxa"/>
          </w:tcPr>
          <w:p>
            <w:pPr>
              <w:pStyle w:val="64"/>
            </w:pPr>
          </w:p>
        </w:tc>
      </w:tr>
    </w:tbl>
    <w:p>
      <w:pPr>
        <w:pStyle w:val="64"/>
      </w:pPr>
    </w:p>
    <w:bookmarkEnd w:id="557"/>
    <w:p>
      <w:pPr>
        <w:pStyle w:val="251"/>
        <w:jc w:val="both"/>
        <w:sectPr>
          <w:footerReference r:id="rId19" w:type="default"/>
          <w:footerReference r:id="rId20" w:type="even"/>
          <w:pgSz w:w="11905" w:h="16838"/>
          <w:pgMar w:top="1928" w:right="1134" w:bottom="1134" w:left="1134" w:header="1417" w:footer="1134" w:gutter="283"/>
          <w:cols w:space="0" w:num="1"/>
          <w:formProt w:val="0"/>
          <w:docGrid w:type="lines" w:linePitch="312" w:charSpace="0"/>
        </w:sectPr>
      </w:pPr>
      <w:bookmarkStart w:id="590" w:name="_Toc59789628"/>
      <w:bookmarkStart w:id="591" w:name="BKCKWX"/>
      <w:bookmarkStart w:id="592" w:name="_Toc144924218"/>
    </w:p>
    <w:bookmarkEnd w:id="590"/>
    <w:bookmarkEnd w:id="591"/>
    <w:bookmarkEnd w:id="592"/>
    <w:p>
      <w:pPr>
        <w:adjustRightInd/>
        <w:spacing w:before="600" w:after="200"/>
        <w:jc w:val="center"/>
        <w:outlineLvl w:val="0"/>
        <w:rPr>
          <w:rFonts w:hint="eastAsia" w:ascii="宋体" w:hAnsi="宋体" w:cs="黑体"/>
          <w:b/>
          <w:bCs/>
          <w:spacing w:val="-11"/>
        </w:rPr>
      </w:pPr>
      <w:bookmarkStart w:id="593" w:name="_Toc153186231"/>
      <w:bookmarkStart w:id="594" w:name="_Toc151494088"/>
      <w:r>
        <w:rPr>
          <w:rFonts w:hint="eastAsia" w:ascii="宋体" w:hAnsi="宋体" w:cs="黑体"/>
          <w:b/>
          <w:bCs/>
          <w:spacing w:val="-11"/>
        </w:rPr>
        <w:t>参 考 文 献</w:t>
      </w:r>
      <w:bookmarkEnd w:id="593"/>
      <w:bookmarkEnd w:id="594"/>
    </w:p>
    <w:p>
      <w:pPr>
        <w:pStyle w:val="64"/>
      </w:pPr>
      <w:r>
        <w:rPr>
          <w:szCs w:val="21"/>
        </w:rPr>
        <w:t xml:space="preserve">[1]  </w:t>
      </w:r>
      <w:r>
        <w:t>DB11/T 1558-2018</w:t>
      </w:r>
      <w:r>
        <w:rPr>
          <w:rFonts w:hint="eastAsia"/>
        </w:rPr>
        <w:t xml:space="preserve">  碳排放管理体系建设实施效果评价指南</w:t>
      </w:r>
    </w:p>
    <w:p>
      <w:pPr>
        <w:pStyle w:val="64"/>
      </w:pPr>
      <w:r>
        <w:rPr>
          <w:szCs w:val="21"/>
        </w:rPr>
        <w:t xml:space="preserve">[2]  </w:t>
      </w:r>
      <w:r>
        <w:t xml:space="preserve">DB11/T 1559-2018  </w:t>
      </w:r>
      <w:r>
        <w:rPr>
          <w:rFonts w:hint="eastAsia"/>
        </w:rPr>
        <w:t>碳排放管理体系建设实施指南</w:t>
      </w:r>
    </w:p>
    <w:p>
      <w:pPr>
        <w:pStyle w:val="64"/>
        <w:rPr>
          <w:szCs w:val="21"/>
        </w:rPr>
      </w:pPr>
      <w:r>
        <w:rPr>
          <w:szCs w:val="21"/>
        </w:rPr>
        <w:t xml:space="preserve">[3]  DB44/T 1944-2016  </w:t>
      </w:r>
      <w:r>
        <w:rPr>
          <w:rFonts w:hint="eastAsia"/>
          <w:szCs w:val="21"/>
        </w:rPr>
        <w:t>碳排放管理体系要求及使用指南</w:t>
      </w:r>
    </w:p>
    <w:p>
      <w:pPr>
        <w:pStyle w:val="64"/>
        <w:rPr>
          <w:szCs w:val="21"/>
        </w:rPr>
      </w:pPr>
      <w:r>
        <w:rPr>
          <w:szCs w:val="21"/>
        </w:rPr>
        <w:t xml:space="preserve">[4]  SZDB/Z70-2018  </w:t>
      </w:r>
      <w:r>
        <w:rPr>
          <w:rFonts w:hint="eastAsia"/>
          <w:szCs w:val="21"/>
        </w:rPr>
        <w:t>组织的碳排放核查指南</w:t>
      </w:r>
    </w:p>
    <w:p>
      <w:pPr>
        <w:pStyle w:val="64"/>
        <w:rPr>
          <w:szCs w:val="21"/>
        </w:rPr>
      </w:pPr>
      <w:r>
        <w:rPr>
          <w:szCs w:val="21"/>
        </w:rPr>
        <w:t xml:space="preserve">[5]  </w:t>
      </w:r>
      <w:r>
        <w:rPr>
          <w:rFonts w:hint="eastAsia"/>
          <w:szCs w:val="21"/>
        </w:rPr>
        <w:t>组织温室气体排放量化和报告指南</w:t>
      </w:r>
    </w:p>
    <w:p>
      <w:pPr>
        <w:pStyle w:val="64"/>
        <w:rPr>
          <w:szCs w:val="21"/>
        </w:rPr>
      </w:pPr>
      <w:r>
        <w:rPr>
          <w:szCs w:val="21"/>
        </w:rPr>
        <w:t>[6]  T/CIECCPA 002-2021</w:t>
      </w:r>
      <w:r>
        <w:rPr>
          <w:rFonts w:hint="eastAsia"/>
          <w:szCs w:val="21"/>
        </w:rPr>
        <w:t xml:space="preserve">  碳排放管理体系要求及使用指南</w:t>
      </w:r>
    </w:p>
    <w:p>
      <w:pPr>
        <w:pStyle w:val="64"/>
        <w:rPr>
          <w:szCs w:val="21"/>
        </w:rPr>
      </w:pPr>
      <w:r>
        <w:rPr>
          <w:rFonts w:hint="eastAsia"/>
          <w:szCs w:val="21"/>
        </w:rPr>
        <w:t>[</w:t>
      </w:r>
      <w:r>
        <w:rPr>
          <w:szCs w:val="21"/>
        </w:rPr>
        <w:t>7</w:t>
      </w:r>
      <w:r>
        <w:rPr>
          <w:rFonts w:hint="eastAsia"/>
          <w:szCs w:val="21"/>
        </w:rPr>
        <w:t xml:space="preserve">] </w:t>
      </w:r>
      <w:r>
        <w:rPr>
          <w:szCs w:val="21"/>
        </w:rPr>
        <w:t xml:space="preserve"> </w:t>
      </w:r>
      <w:r>
        <w:rPr>
          <w:rFonts w:hint="eastAsia"/>
          <w:szCs w:val="21"/>
        </w:rPr>
        <w:t>ISO 14064-1</w:t>
      </w:r>
      <w:r>
        <w:rPr>
          <w:szCs w:val="21"/>
        </w:rPr>
        <w:t xml:space="preserve">  </w:t>
      </w:r>
      <w:r>
        <w:rPr>
          <w:rFonts w:hint="eastAsia"/>
          <w:szCs w:val="21"/>
        </w:rPr>
        <w:t>组织层次上对温室气体排放和清除的量化和报告的规范及指南</w:t>
      </w:r>
    </w:p>
    <w:p>
      <w:pPr>
        <w:pStyle w:val="64"/>
        <w:rPr>
          <w:szCs w:val="21"/>
        </w:rPr>
      </w:pPr>
      <w:r>
        <w:rPr>
          <w:rFonts w:hint="eastAsia"/>
          <w:szCs w:val="21"/>
        </w:rPr>
        <w:t>[8]  GHG Protocol</w:t>
      </w:r>
    </w:p>
    <w:p>
      <w:pPr>
        <w:pStyle w:val="64"/>
        <w:rPr>
          <w:szCs w:val="21"/>
        </w:rPr>
      </w:pPr>
      <w:r>
        <w:rPr>
          <w:rFonts w:hint="eastAsia"/>
          <w:szCs w:val="21"/>
        </w:rPr>
        <w:t>[9]  GB/T 24067-2024《温室气体-产品碳足迹 量化要求和指南》</w:t>
      </w:r>
    </w:p>
    <w:p>
      <w:r>
        <w:rPr>
          <w:rFonts w:hint="eastAsia"/>
        </w:rPr>
        <mc:AlternateContent>
          <mc:Choice Requires="wps">
            <w:drawing>
              <wp:anchor distT="0" distB="0" distL="114300" distR="114300" simplePos="0" relativeHeight="251671552" behindDoc="0" locked="0" layoutInCell="1" allowOverlap="1">
                <wp:simplePos x="0" y="0"/>
                <wp:positionH relativeFrom="column">
                  <wp:posOffset>1814195</wp:posOffset>
                </wp:positionH>
                <wp:positionV relativeFrom="paragraph">
                  <wp:posOffset>64770</wp:posOffset>
                </wp:positionV>
                <wp:extent cx="2433955" cy="0"/>
                <wp:effectExtent l="0" t="4445" r="0" b="5080"/>
                <wp:wrapNone/>
                <wp:docPr id="463942671" name="直接连接符 2"/>
                <wp:cNvGraphicFramePr/>
                <a:graphic xmlns:a="http://schemas.openxmlformats.org/drawingml/2006/main">
                  <a:graphicData uri="http://schemas.microsoft.com/office/word/2010/wordprocessingShape">
                    <wps:wsp>
                      <wps:cNvCnPr/>
                      <wps:spPr>
                        <a:xfrm flipV="1">
                          <a:off x="0" y="0"/>
                          <a:ext cx="24337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2" o:spid="_x0000_s1026" o:spt="20" style="position:absolute;left:0pt;flip:y;margin-left:142.85pt;margin-top:5.1pt;height:0pt;width:191.65pt;z-index:251671552;mso-width-relative:page;mso-height-relative:page;" filled="f" stroked="t" coordsize="21600,21600" o:gfxdata="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s2QqfWAAAACQEAAA8AAAAAAAAAAQAgAAAAIgAAAGRycy9kb3ducmV2LnhtbFBLAQIUABQA&#10;AAAIAIdO4kBL80x78gEAAMMDAAAOAAAAAAAAAAEAIAAAACUBAABkcnMvZTJvRG9jLnhtbFBLBQYA&#10;AAAABgAGAFkBAACJBQAAAAA=&#10;">
                <v:fill on="f" focussize="0,0"/>
                <v:stroke weight="0.5pt" color="#000000 [3200]" miterlimit="8" joinstyle="miter"/>
                <v:imagedata o:title=""/>
                <o:lock v:ext="edit" aspectratio="f"/>
              </v:line>
            </w:pict>
          </mc:Fallback>
        </mc:AlternateContent>
      </w:r>
    </w:p>
    <w:sectPr>
      <w:footerReference r:id="rId21" w:type="default"/>
      <w:footerReference r:id="rId22" w:type="even"/>
      <w:pgSz w:w="11905" w:h="16838"/>
      <w:pgMar w:top="1928" w:right="1134" w:bottom="1134" w:left="1134" w:header="1417" w:footer="1134" w:gutter="283"/>
      <w:cols w:space="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XXIX</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XXIX</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XXX</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XXX</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XXXII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XXXII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eastAsiaTheme="minorEastAsia"/>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hint="eastAsia" w:eastAsia="宋体"/>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rPr>
        <w:rFonts w:hint="eastAsia" w:eastAsiaTheme="minorEastAsia"/>
      </w:rPr>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V</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VI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VI</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righ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XXV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XXV</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2"/>
                          </w:pPr>
                          <w:r>
                            <w:fldChar w:fldCharType="begin"/>
                          </w:r>
                          <w:r>
                            <w:instrText xml:space="preserve"> PAGE  \* MERGEFORMAT </w:instrText>
                          </w:r>
                          <w:r>
                            <w:fldChar w:fldCharType="separate"/>
                          </w:r>
                          <w:r>
                            <w:t>XXIV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pPr>
                      <w:pStyle w:val="22"/>
                    </w:pPr>
                    <w:r>
                      <w:fldChar w:fldCharType="begin"/>
                    </w:r>
                    <w:r>
                      <w:instrText xml:space="preserve"> PAGE  \* MERGEFORMAT </w:instrText>
                    </w:r>
                    <w:r>
                      <w:fldChar w:fldCharType="separate"/>
                    </w:r>
                    <w:r>
                      <w:t>XXIV</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right"/>
      <w:rPr>
        <w:rFonts w:hint="eastAsia"/>
      </w:rPr>
    </w:pPr>
    <w:r>
      <w:t>DB4403/T 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rPr>
    </w:pPr>
    <w:r>
      <w:t>DB4403/T XXX—XXX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rPr>
    </w:pPr>
    <w:r>
      <w:t>DB4403/T 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A32C95"/>
    <w:multiLevelType w:val="multilevel"/>
    <w:tmpl w:val="B8A32C95"/>
    <w:lvl w:ilvl="0" w:tentative="0">
      <w:start w:val="1"/>
      <w:numFmt w:val="decimal"/>
      <w:pStyle w:val="297"/>
      <w:suff w:val="nothing"/>
      <w:lvlText w:val="%1　"/>
      <w:lvlJc w:val="left"/>
      <w:pPr>
        <w:ind w:left="142"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suff w:val="nothing"/>
      <w:lvlText w:val="%1.%2.%3　"/>
      <w:lvlJc w:val="left"/>
      <w:pPr>
        <w:ind w:left="0" w:firstLine="0"/>
      </w:pPr>
      <w:rPr>
        <w:rFonts w:hint="default" w:ascii="黑体" w:hAnsi="Times New Roman" w:eastAsia="黑体"/>
        <w:b w:val="0"/>
        <w:i w:val="0"/>
        <w:color w:val="auto"/>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2837933"/>
    <w:multiLevelType w:val="multilevel"/>
    <w:tmpl w:val="02837933"/>
    <w:lvl w:ilvl="0" w:tentative="0">
      <w:start w:val="1"/>
      <w:numFmt w:val="decimal"/>
      <w:pStyle w:val="72"/>
      <w:lvlText w:val="[%1]"/>
      <w:lvlJc w:val="left"/>
      <w:pPr>
        <w:tabs>
          <w:tab w:val="left" w:pos="1709"/>
        </w:tabs>
        <w:ind w:left="1709" w:hanging="648"/>
      </w:pPr>
    </w:lvl>
    <w:lvl w:ilvl="1" w:tentative="0">
      <w:start w:val="1"/>
      <w:numFmt w:val="lowerLetter"/>
      <w:lvlText w:val="%2)"/>
      <w:lvlJc w:val="left"/>
      <w:pPr>
        <w:tabs>
          <w:tab w:val="left" w:pos="1901"/>
        </w:tabs>
        <w:ind w:left="1901" w:hanging="420"/>
      </w:pPr>
    </w:lvl>
    <w:lvl w:ilvl="2" w:tentative="0">
      <w:start w:val="1"/>
      <w:numFmt w:val="lowerRoman"/>
      <w:lvlText w:val="%3."/>
      <w:lvlJc w:val="right"/>
      <w:pPr>
        <w:tabs>
          <w:tab w:val="left" w:pos="2321"/>
        </w:tabs>
        <w:ind w:left="2321" w:hanging="420"/>
      </w:pPr>
    </w:lvl>
    <w:lvl w:ilvl="3" w:tentative="0">
      <w:start w:val="1"/>
      <w:numFmt w:val="decimal"/>
      <w:lvlText w:val="%4."/>
      <w:lvlJc w:val="left"/>
      <w:pPr>
        <w:tabs>
          <w:tab w:val="left" w:pos="2741"/>
        </w:tabs>
        <w:ind w:left="2741" w:hanging="420"/>
      </w:pPr>
    </w:lvl>
    <w:lvl w:ilvl="4" w:tentative="0">
      <w:start w:val="1"/>
      <w:numFmt w:val="lowerLetter"/>
      <w:lvlText w:val="%5)"/>
      <w:lvlJc w:val="left"/>
      <w:pPr>
        <w:tabs>
          <w:tab w:val="left" w:pos="3161"/>
        </w:tabs>
        <w:ind w:left="3161" w:hanging="420"/>
      </w:pPr>
    </w:lvl>
    <w:lvl w:ilvl="5" w:tentative="0">
      <w:start w:val="1"/>
      <w:numFmt w:val="lowerRoman"/>
      <w:lvlText w:val="%6."/>
      <w:lvlJc w:val="right"/>
      <w:pPr>
        <w:tabs>
          <w:tab w:val="left" w:pos="3581"/>
        </w:tabs>
        <w:ind w:left="3581" w:hanging="420"/>
      </w:pPr>
    </w:lvl>
    <w:lvl w:ilvl="6" w:tentative="0">
      <w:start w:val="1"/>
      <w:numFmt w:val="decimal"/>
      <w:lvlText w:val="%7."/>
      <w:lvlJc w:val="left"/>
      <w:pPr>
        <w:tabs>
          <w:tab w:val="left" w:pos="4001"/>
        </w:tabs>
        <w:ind w:left="4001" w:hanging="420"/>
      </w:pPr>
    </w:lvl>
    <w:lvl w:ilvl="7" w:tentative="0">
      <w:start w:val="1"/>
      <w:numFmt w:val="lowerLetter"/>
      <w:lvlText w:val="%8)"/>
      <w:lvlJc w:val="left"/>
      <w:pPr>
        <w:tabs>
          <w:tab w:val="left" w:pos="4421"/>
        </w:tabs>
        <w:ind w:left="4421" w:hanging="420"/>
      </w:pPr>
    </w:lvl>
    <w:lvl w:ilvl="8" w:tentative="0">
      <w:start w:val="1"/>
      <w:numFmt w:val="lowerRoman"/>
      <w:lvlText w:val="%9."/>
      <w:lvlJc w:val="right"/>
      <w:pPr>
        <w:tabs>
          <w:tab w:val="left" w:pos="4841"/>
        </w:tabs>
        <w:ind w:left="4841"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7"/>
      <w:suff w:val="nothing"/>
      <w:lvlText w:val="%1%2.%3　"/>
      <w:lvlJc w:val="left"/>
      <w:pPr>
        <w:ind w:left="0" w:firstLine="0"/>
      </w:pPr>
    </w:lvl>
    <w:lvl w:ilvl="3" w:tentative="0">
      <w:start w:val="1"/>
      <w:numFmt w:val="decimal"/>
      <w:pStyle w:val="126"/>
      <w:suff w:val="nothing"/>
      <w:lvlText w:val="%1%2.%3.%4　"/>
      <w:lvlJc w:val="left"/>
      <w:pPr>
        <w:ind w:left="0" w:firstLine="0"/>
      </w:pPr>
    </w:lvl>
    <w:lvl w:ilvl="4" w:tentative="0">
      <w:start w:val="1"/>
      <w:numFmt w:val="decimal"/>
      <w:pStyle w:val="161"/>
      <w:suff w:val="nothing"/>
      <w:lvlText w:val="%1%2.%3.%4.%5　"/>
      <w:lvlJc w:val="left"/>
      <w:pPr>
        <w:ind w:left="0" w:firstLine="0"/>
      </w:pPr>
    </w:lvl>
    <w:lvl w:ilvl="5" w:tentative="0">
      <w:start w:val="1"/>
      <w:numFmt w:val="decimal"/>
      <w:pStyle w:val="163"/>
      <w:suff w:val="nothing"/>
      <w:lvlText w:val="%1%2.%3.%4.%5.%6　"/>
      <w:lvlJc w:val="left"/>
      <w:pPr>
        <w:ind w:left="0" w:firstLine="0"/>
      </w:pPr>
    </w:lvl>
    <w:lvl w:ilvl="6" w:tentative="0">
      <w:start w:val="1"/>
      <w:numFmt w:val="decimal"/>
      <w:pStyle w:val="166"/>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4211CD6"/>
    <w:multiLevelType w:val="multilevel"/>
    <w:tmpl w:val="04211CD6"/>
    <w:lvl w:ilvl="0" w:tentative="0">
      <w:start w:val="1"/>
      <w:numFmt w:val="decimal"/>
      <w:pStyle w:val="287"/>
      <w:suff w:val="space"/>
      <w:lvlText w:val="B.%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79102AD"/>
    <w:multiLevelType w:val="multilevel"/>
    <w:tmpl w:val="079102AD"/>
    <w:lvl w:ilvl="0" w:tentative="0">
      <w:start w:val="1"/>
      <w:numFmt w:val="decimal"/>
      <w:pStyle w:val="188"/>
      <w:suff w:val="nothing"/>
      <w:lvlText w:val="注%1："/>
      <w:lvlJc w:val="left"/>
      <w:pPr>
        <w:ind w:left="874" w:hanging="448"/>
      </w:pPr>
      <w:rPr>
        <w:rFonts w:hint="eastAsia" w:ascii="黑体" w:eastAsia="黑体"/>
        <w:b w:val="0"/>
        <w:i w:val="0"/>
        <w:sz w:val="18"/>
      </w:rPr>
    </w:lvl>
    <w:lvl w:ilvl="1" w:tentative="0">
      <w:start w:val="1"/>
      <w:numFmt w:val="lowerLetter"/>
      <w:lvlText w:val="%2)"/>
      <w:lvlJc w:val="left"/>
      <w:pPr>
        <w:tabs>
          <w:tab w:val="left" w:pos="63"/>
        </w:tabs>
        <w:ind w:left="1055" w:hanging="629"/>
      </w:pPr>
      <w:rPr>
        <w:rFonts w:hint="eastAsia"/>
      </w:rPr>
    </w:lvl>
    <w:lvl w:ilvl="2" w:tentative="0">
      <w:start w:val="1"/>
      <w:numFmt w:val="lowerRoman"/>
      <w:lvlText w:val="%3."/>
      <w:lvlJc w:val="right"/>
      <w:pPr>
        <w:tabs>
          <w:tab w:val="left" w:pos="63"/>
        </w:tabs>
        <w:ind w:left="1055" w:hanging="629"/>
      </w:pPr>
      <w:rPr>
        <w:rFonts w:hint="eastAsia"/>
      </w:rPr>
    </w:lvl>
    <w:lvl w:ilvl="3" w:tentative="0">
      <w:start w:val="1"/>
      <w:numFmt w:val="decimal"/>
      <w:lvlText w:val="%4."/>
      <w:lvlJc w:val="left"/>
      <w:pPr>
        <w:tabs>
          <w:tab w:val="left" w:pos="63"/>
        </w:tabs>
        <w:ind w:left="1055" w:hanging="629"/>
      </w:pPr>
      <w:rPr>
        <w:rFonts w:hint="eastAsia"/>
      </w:rPr>
    </w:lvl>
    <w:lvl w:ilvl="4" w:tentative="0">
      <w:start w:val="1"/>
      <w:numFmt w:val="lowerLetter"/>
      <w:lvlText w:val="%5)"/>
      <w:lvlJc w:val="left"/>
      <w:pPr>
        <w:tabs>
          <w:tab w:val="left" w:pos="63"/>
        </w:tabs>
        <w:ind w:left="1055" w:hanging="629"/>
      </w:pPr>
      <w:rPr>
        <w:rFonts w:hint="eastAsia"/>
      </w:rPr>
    </w:lvl>
    <w:lvl w:ilvl="5" w:tentative="0">
      <w:start w:val="1"/>
      <w:numFmt w:val="lowerRoman"/>
      <w:lvlText w:val="%6."/>
      <w:lvlJc w:val="right"/>
      <w:pPr>
        <w:tabs>
          <w:tab w:val="left" w:pos="63"/>
        </w:tabs>
        <w:ind w:left="1055" w:hanging="629"/>
      </w:pPr>
      <w:rPr>
        <w:rFonts w:hint="eastAsia"/>
      </w:rPr>
    </w:lvl>
    <w:lvl w:ilvl="6" w:tentative="0">
      <w:start w:val="1"/>
      <w:numFmt w:val="decimal"/>
      <w:lvlText w:val="%7."/>
      <w:lvlJc w:val="left"/>
      <w:pPr>
        <w:tabs>
          <w:tab w:val="left" w:pos="63"/>
        </w:tabs>
        <w:ind w:left="1055" w:hanging="629"/>
      </w:pPr>
      <w:rPr>
        <w:rFonts w:hint="eastAsia"/>
      </w:rPr>
    </w:lvl>
    <w:lvl w:ilvl="7" w:tentative="0">
      <w:start w:val="1"/>
      <w:numFmt w:val="lowerLetter"/>
      <w:lvlText w:val="%8)"/>
      <w:lvlJc w:val="left"/>
      <w:pPr>
        <w:tabs>
          <w:tab w:val="left" w:pos="63"/>
        </w:tabs>
        <w:ind w:left="1055" w:hanging="629"/>
      </w:pPr>
      <w:rPr>
        <w:rFonts w:hint="eastAsia"/>
      </w:rPr>
    </w:lvl>
    <w:lvl w:ilvl="8" w:tentative="0">
      <w:start w:val="1"/>
      <w:numFmt w:val="lowerRoman"/>
      <w:lvlText w:val="%9."/>
      <w:lvlJc w:val="right"/>
      <w:pPr>
        <w:tabs>
          <w:tab w:val="left" w:pos="63"/>
        </w:tabs>
        <w:ind w:left="1055" w:hanging="629"/>
      </w:pPr>
      <w:rPr>
        <w:rFonts w:hint="eastAsia"/>
      </w:rPr>
    </w:lvl>
  </w:abstractNum>
  <w:abstractNum w:abstractNumId="5">
    <w:nsid w:val="07ED3FEA"/>
    <w:multiLevelType w:val="multilevel"/>
    <w:tmpl w:val="07ED3FEA"/>
    <w:lvl w:ilvl="0" w:tentative="0">
      <w:start w:val="1"/>
      <w:numFmt w:val="none"/>
      <w:pStyle w:val="97"/>
      <w:lvlText w:val="%1"/>
      <w:lvlJc w:val="left"/>
      <w:pPr>
        <w:ind w:left="425" w:hanging="425"/>
      </w:pPr>
      <w:rPr>
        <w:rFonts w:hint="eastAsia"/>
      </w:rPr>
    </w:lvl>
    <w:lvl w:ilvl="1" w:tentative="0">
      <w:start w:val="1"/>
      <w:numFmt w:val="decimal"/>
      <w:pStyle w:val="208"/>
      <w:suff w:val="nothing"/>
      <w:lvlText w:val="%10.%2 "/>
      <w:lvlJc w:val="left"/>
      <w:pPr>
        <w:ind w:left="0" w:firstLine="0"/>
      </w:pPr>
      <w:rPr>
        <w:rFonts w:hint="eastAsia" w:ascii="黑体" w:eastAsia="黑体" w:hAnsiTheme="minorHAnsi"/>
        <w:b w:val="0"/>
        <w:i w:val="0"/>
        <w:sz w:val="21"/>
      </w:rPr>
    </w:lvl>
    <w:lvl w:ilvl="2" w:tentative="0">
      <w:start w:val="1"/>
      <w:numFmt w:val="decimal"/>
      <w:pStyle w:val="209"/>
      <w:suff w:val="nothing"/>
      <w:lvlText w:val="%10.%2.%3 "/>
      <w:lvlJc w:val="left"/>
      <w:pPr>
        <w:ind w:left="0" w:firstLine="0"/>
      </w:pPr>
      <w:rPr>
        <w:rFonts w:hint="eastAsia" w:ascii="黑体" w:eastAsia="黑体" w:hAnsiTheme="minorHAnsi"/>
        <w:b w:val="0"/>
        <w:i w:val="0"/>
        <w:sz w:val="21"/>
      </w:rPr>
    </w:lvl>
    <w:lvl w:ilvl="3" w:tentative="0">
      <w:start w:val="1"/>
      <w:numFmt w:val="decimal"/>
      <w:pStyle w:val="210"/>
      <w:suff w:val="nothing"/>
      <w:lvlText w:val="%10.%2.%3.%4 "/>
      <w:lvlJc w:val="left"/>
      <w:pPr>
        <w:ind w:left="0" w:firstLine="0"/>
      </w:pPr>
      <w:rPr>
        <w:rFonts w:hint="eastAsia" w:ascii="黑体" w:eastAsia="黑体" w:hAnsiTheme="minorHAnsi"/>
        <w:b w:val="0"/>
        <w:i w:val="0"/>
        <w:sz w:val="21"/>
      </w:rPr>
    </w:lvl>
    <w:lvl w:ilvl="4" w:tentative="0">
      <w:start w:val="1"/>
      <w:numFmt w:val="decimal"/>
      <w:pStyle w:val="211"/>
      <w:suff w:val="nothing"/>
      <w:lvlText w:val="%10.%2.%3.%4.%5 "/>
      <w:lvlJc w:val="left"/>
      <w:pPr>
        <w:ind w:left="0" w:firstLine="0"/>
      </w:pPr>
      <w:rPr>
        <w:rFonts w:hint="eastAsia" w:ascii="黑体" w:eastAsia="黑体" w:hAnsiTheme="minorHAnsi"/>
        <w:b w:val="0"/>
        <w:i w:val="0"/>
        <w:sz w:val="21"/>
      </w:rPr>
    </w:lvl>
    <w:lvl w:ilvl="5" w:tentative="0">
      <w:start w:val="1"/>
      <w:numFmt w:val="decimal"/>
      <w:pStyle w:val="212"/>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9"/>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BDC1670"/>
    <w:multiLevelType w:val="multilevel"/>
    <w:tmpl w:val="0BDC1670"/>
    <w:lvl w:ilvl="0" w:tentative="0">
      <w:start w:val="1"/>
      <w:numFmt w:val="decimal"/>
      <w:pStyle w:val="75"/>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D051F45"/>
    <w:multiLevelType w:val="multilevel"/>
    <w:tmpl w:val="0D051F45"/>
    <w:lvl w:ilvl="0" w:tentative="0">
      <w:start w:val="1"/>
      <w:numFmt w:val="lowerRoman"/>
      <w:pStyle w:val="17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9">
    <w:nsid w:val="1AD20F90"/>
    <w:multiLevelType w:val="multilevel"/>
    <w:tmpl w:val="1AD20F90"/>
    <w:lvl w:ilvl="0" w:tentative="0">
      <w:start w:val="1"/>
      <w:numFmt w:val="none"/>
      <w:pStyle w:val="118"/>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AF15012"/>
    <w:multiLevelType w:val="multilevel"/>
    <w:tmpl w:val="1AF15012"/>
    <w:lvl w:ilvl="0" w:tentative="0">
      <w:start w:val="1"/>
      <w:numFmt w:val="upperLetter"/>
      <w:pStyle w:val="93"/>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1">
    <w:nsid w:val="1EAA1992"/>
    <w:multiLevelType w:val="multilevel"/>
    <w:tmpl w:val="1EAA1992"/>
    <w:lvl w:ilvl="0" w:tentative="0">
      <w:start w:val="1"/>
      <w:numFmt w:val="none"/>
      <w:pStyle w:val="100"/>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C5917C3"/>
    <w:multiLevelType w:val="multilevel"/>
    <w:tmpl w:val="2C5917C3"/>
    <w:lvl w:ilvl="0" w:tentative="0">
      <w:start w:val="1"/>
      <w:numFmt w:val="none"/>
      <w:pStyle w:val="140"/>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5"/>
      <w:lvlText w:val=""/>
      <w:lvlJc w:val="left"/>
      <w:pPr>
        <w:ind w:left="851" w:hanging="431"/>
      </w:pPr>
      <w:rPr>
        <w:rFonts w:hint="default" w:ascii="Symbol" w:hAnsi="Symbol"/>
        <w:sz w:val="21"/>
      </w:rPr>
    </w:lvl>
    <w:lvl w:ilvl="2" w:tentative="0">
      <w:start w:val="1"/>
      <w:numFmt w:val="bullet"/>
      <w:pStyle w:val="180"/>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9"/>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82"/>
      <w:lvlText w:val="%1)"/>
      <w:lvlJc w:val="left"/>
      <w:pPr>
        <w:tabs>
          <w:tab w:val="left" w:pos="851"/>
        </w:tabs>
        <w:ind w:left="851" w:hanging="426"/>
      </w:pPr>
      <w:rPr>
        <w:rFonts w:hint="eastAsia" w:ascii="宋体" w:hAnsi="Times New Roman" w:eastAsia="宋体"/>
        <w:sz w:val="21"/>
      </w:rPr>
    </w:lvl>
    <w:lvl w:ilvl="1" w:tentative="0">
      <w:start w:val="1"/>
      <w:numFmt w:val="decimal"/>
      <w:pStyle w:val="117"/>
      <w:lvlText w:val="%2)"/>
      <w:lvlJc w:val="left"/>
      <w:pPr>
        <w:tabs>
          <w:tab w:val="left" w:pos="1276"/>
        </w:tabs>
        <w:ind w:left="1276" w:hanging="425"/>
      </w:pPr>
      <w:rPr>
        <w:rFonts w:hint="eastAsia" w:ascii="宋体" w:hAnsi="Times New Roman" w:eastAsia="宋体"/>
        <w:sz w:val="21"/>
      </w:rPr>
    </w:lvl>
    <w:lvl w:ilvl="2" w:tentative="0">
      <w:start w:val="1"/>
      <w:numFmt w:val="decimal"/>
      <w:pStyle w:val="125"/>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5481F50"/>
    <w:multiLevelType w:val="multilevel"/>
    <w:tmpl w:val="45481F50"/>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6">
    <w:nsid w:val="475F5CE3"/>
    <w:multiLevelType w:val="multilevel"/>
    <w:tmpl w:val="475F5CE3"/>
    <w:lvl w:ilvl="0" w:tentative="0">
      <w:start w:val="1"/>
      <w:numFmt w:val="lowerLetter"/>
      <w:lvlText w:val="%1）"/>
      <w:lvlJc w:val="left"/>
      <w:pPr>
        <w:ind w:left="860" w:hanging="44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7">
    <w:nsid w:val="48802D1C"/>
    <w:multiLevelType w:val="multilevel"/>
    <w:tmpl w:val="48802D1C"/>
    <w:lvl w:ilvl="0" w:tentative="0">
      <w:start w:val="1"/>
      <w:numFmt w:val="upperLetter"/>
      <w:pStyle w:val="206"/>
      <w:lvlText w:val="%1"/>
      <w:lvlJc w:val="left"/>
      <w:pPr>
        <w:ind w:left="420" w:hanging="420"/>
      </w:pPr>
      <w:rPr>
        <w:rFonts w:hint="eastAsia"/>
      </w:rPr>
    </w:lvl>
    <w:lvl w:ilvl="1" w:tentative="0">
      <w:start w:val="1"/>
      <w:numFmt w:val="decimal"/>
      <w:pStyle w:val="91"/>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
    <w:nsid w:val="4B733A5F"/>
    <w:multiLevelType w:val="multilevel"/>
    <w:tmpl w:val="4B733A5F"/>
    <w:lvl w:ilvl="0" w:tentative="0">
      <w:start w:val="1"/>
      <w:numFmt w:val="decimal"/>
      <w:pStyle w:val="191"/>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9">
    <w:nsid w:val="4E5D0534"/>
    <w:multiLevelType w:val="multilevel"/>
    <w:tmpl w:val="4E5D0534"/>
    <w:lvl w:ilvl="0" w:tentative="0">
      <w:start w:val="1"/>
      <w:numFmt w:val="decimal"/>
      <w:pStyle w:val="124"/>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4632751"/>
    <w:multiLevelType w:val="multilevel"/>
    <w:tmpl w:val="54632751"/>
    <w:lvl w:ilvl="0" w:tentative="0">
      <w:start w:val="1"/>
      <w:numFmt w:val="none"/>
      <w:pStyle w:val="101"/>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1">
    <w:nsid w:val="557C2AF5"/>
    <w:multiLevelType w:val="multilevel"/>
    <w:tmpl w:val="557C2AF5"/>
    <w:lvl w:ilvl="0" w:tentative="0">
      <w:start w:val="1"/>
      <w:numFmt w:val="decimal"/>
      <w:pStyle w:val="122"/>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2">
    <w:nsid w:val="5603797C"/>
    <w:multiLevelType w:val="multilevel"/>
    <w:tmpl w:val="5603797C"/>
    <w:lvl w:ilvl="0" w:tentative="0">
      <w:start w:val="1"/>
      <w:numFmt w:val="upperLetter"/>
      <w:pStyle w:val="207"/>
      <w:suff w:val="space"/>
      <w:lvlText w:val="%1"/>
      <w:lvlJc w:val="left"/>
      <w:pPr>
        <w:ind w:left="425" w:hanging="425"/>
      </w:pPr>
      <w:rPr>
        <w:rFonts w:hint="eastAsia"/>
      </w:rPr>
    </w:lvl>
    <w:lvl w:ilvl="1" w:tentative="0">
      <w:start w:val="1"/>
      <w:numFmt w:val="decimal"/>
      <w:pStyle w:val="85"/>
      <w:suff w:val="space"/>
      <w:lvlText w:val="表%1.%2"/>
      <w:lvlJc w:val="center"/>
      <w:pPr>
        <w:ind w:left="6096"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564D2089"/>
    <w:multiLevelType w:val="multilevel"/>
    <w:tmpl w:val="564D2089"/>
    <w:lvl w:ilvl="0" w:tentative="0">
      <w:start w:val="1"/>
      <w:numFmt w:val="none"/>
      <w:pStyle w:val="119"/>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644622F9"/>
    <w:multiLevelType w:val="multilevel"/>
    <w:tmpl w:val="644622F9"/>
    <w:lvl w:ilvl="0" w:tentative="0">
      <w:start w:val="1"/>
      <w:numFmt w:val="upperRoman"/>
      <w:pStyle w:val="176"/>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5">
    <w:nsid w:val="646260FA"/>
    <w:multiLevelType w:val="multilevel"/>
    <w:tmpl w:val="646260FA"/>
    <w:lvl w:ilvl="0" w:tentative="0">
      <w:start w:val="1"/>
      <w:numFmt w:val="decimal"/>
      <w:pStyle w:val="120"/>
      <w:suff w:val="nothing"/>
      <w:lvlText w:val="表%1　"/>
      <w:lvlJc w:val="left"/>
      <w:pPr>
        <w:ind w:left="0" w:firstLine="0"/>
      </w:pPr>
      <w:rPr>
        <w:rFonts w:hint="default" w:ascii="黑体" w:hAnsi="黑体" w:eastAsia="黑体" w:cs="黑体"/>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6">
    <w:nsid w:val="654A26C9"/>
    <w:multiLevelType w:val="multilevel"/>
    <w:tmpl w:val="654A26C9"/>
    <w:lvl w:ilvl="0" w:tentative="0">
      <w:start w:val="1"/>
      <w:numFmt w:val="none"/>
      <w:pStyle w:val="197"/>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7">
    <w:nsid w:val="69506ABF"/>
    <w:multiLevelType w:val="multilevel"/>
    <w:tmpl w:val="69506ABF"/>
    <w:lvl w:ilvl="0" w:tentative="0">
      <w:start w:val="1"/>
      <w:numFmt w:val="bullet"/>
      <w:pStyle w:val="196"/>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5"/>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81"/>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DBF04F4"/>
    <w:multiLevelType w:val="multilevel"/>
    <w:tmpl w:val="6DBF04F4"/>
    <w:lvl w:ilvl="0" w:tentative="0">
      <w:start w:val="1"/>
      <w:numFmt w:val="none"/>
      <w:pStyle w:val="187"/>
      <w:lvlText w:val="%1注："/>
      <w:lvlJc w:val="left"/>
      <w:pPr>
        <w:ind w:left="1224" w:hanging="374"/>
      </w:pPr>
      <w:rPr>
        <w:rFonts w:hint="default" w:ascii="黑体" w:eastAsia="黑体"/>
        <w:b w:val="0"/>
        <w:bCs w:val="0"/>
        <w:i w:val="0"/>
        <w:sz w:val="18"/>
        <w:lang w:val="en-US"/>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23"/>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7"/>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69AC671"/>
    <w:multiLevelType w:val="multilevel"/>
    <w:tmpl w:val="769AC671"/>
    <w:lvl w:ilvl="0" w:tentative="0">
      <w:start w:val="1"/>
      <w:numFmt w:val="upperLetter"/>
      <w:suff w:val="nothing"/>
      <w:lvlText w:val="附录%1"/>
      <w:lvlJc w:val="left"/>
      <w:pPr>
        <w:ind w:left="0" w:firstLine="0"/>
      </w:pPr>
      <w:rPr>
        <w:rFonts w:hint="eastAsia"/>
        <w:spacing w:val="100"/>
      </w:rPr>
    </w:lvl>
    <w:lvl w:ilvl="1" w:tentative="0">
      <w:start w:val="1"/>
      <w:numFmt w:val="decimal"/>
      <w:pStyle w:val="86"/>
      <w:suff w:val="nothing"/>
      <w:lvlText w:val="%1.%2　"/>
      <w:lvlJc w:val="left"/>
      <w:pPr>
        <w:ind w:left="3687" w:hanging="3687"/>
      </w:pPr>
      <w:rPr>
        <w:rFonts w:hint="eastAsia" w:ascii="黑体" w:eastAsia="黑体"/>
        <w:b w:val="0"/>
        <w:i w:val="0"/>
        <w:sz w:val="21"/>
      </w:rPr>
    </w:lvl>
    <w:lvl w:ilvl="2" w:tentative="0">
      <w:start w:val="1"/>
      <w:numFmt w:val="decimal"/>
      <w:pStyle w:val="87"/>
      <w:suff w:val="nothing"/>
      <w:lvlText w:val="%1.%2.%3　"/>
      <w:lvlJc w:val="left"/>
      <w:pPr>
        <w:ind w:left="0" w:firstLine="0"/>
      </w:pPr>
      <w:rPr>
        <w:rFonts w:hint="eastAsia" w:ascii="黑体" w:eastAsia="黑体"/>
        <w:b w:val="0"/>
        <w:i w:val="0"/>
        <w:sz w:val="21"/>
      </w:rPr>
    </w:lvl>
    <w:lvl w:ilvl="3" w:tentative="0">
      <w:start w:val="1"/>
      <w:numFmt w:val="decimal"/>
      <w:pStyle w:val="89"/>
      <w:suff w:val="nothing"/>
      <w:lvlText w:val="%1.%2.%3.%4　"/>
      <w:lvlJc w:val="left"/>
      <w:pPr>
        <w:ind w:left="0" w:firstLine="0"/>
      </w:pPr>
      <w:rPr>
        <w:rFonts w:hint="eastAsia" w:ascii="黑体" w:eastAsia="黑体"/>
        <w:b w:val="0"/>
        <w:i w:val="0"/>
        <w:sz w:val="21"/>
      </w:rPr>
    </w:lvl>
    <w:lvl w:ilvl="4" w:tentative="0">
      <w:start w:val="1"/>
      <w:numFmt w:val="decimal"/>
      <w:pStyle w:val="90"/>
      <w:suff w:val="nothing"/>
      <w:lvlText w:val="%1.%2.%3.%4.%5　"/>
      <w:lvlJc w:val="left"/>
      <w:pPr>
        <w:ind w:left="0" w:firstLine="0"/>
      </w:pPr>
      <w:rPr>
        <w:rFonts w:hint="eastAsia" w:ascii="黑体" w:eastAsia="黑体"/>
        <w:b w:val="0"/>
        <w:i w:val="0"/>
        <w:sz w:val="21"/>
      </w:rPr>
    </w:lvl>
    <w:lvl w:ilvl="5" w:tentative="0">
      <w:start w:val="1"/>
      <w:numFmt w:val="decimal"/>
      <w:pStyle w:val="92"/>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1"/>
  </w:num>
  <w:num w:numId="2">
    <w:abstractNumId w:val="7"/>
  </w:num>
  <w:num w:numId="3">
    <w:abstractNumId w:val="22"/>
  </w:num>
  <w:num w:numId="4">
    <w:abstractNumId w:val="33"/>
  </w:num>
  <w:num w:numId="5">
    <w:abstractNumId w:val="17"/>
  </w:num>
  <w:num w:numId="6">
    <w:abstractNumId w:val="10"/>
  </w:num>
  <w:num w:numId="7">
    <w:abstractNumId w:val="5"/>
  </w:num>
  <w:num w:numId="8">
    <w:abstractNumId w:val="11"/>
  </w:num>
  <w:num w:numId="9">
    <w:abstractNumId w:val="20"/>
  </w:num>
  <w:num w:numId="10">
    <w:abstractNumId w:val="28"/>
  </w:num>
  <w:num w:numId="11">
    <w:abstractNumId w:val="13"/>
  </w:num>
  <w:num w:numId="12">
    <w:abstractNumId w:val="14"/>
  </w:num>
  <w:num w:numId="13">
    <w:abstractNumId w:val="9"/>
  </w:num>
  <w:num w:numId="14">
    <w:abstractNumId w:val="23"/>
  </w:num>
  <w:num w:numId="15">
    <w:abstractNumId w:val="25"/>
  </w:num>
  <w:num w:numId="16">
    <w:abstractNumId w:val="21"/>
  </w:num>
  <w:num w:numId="17">
    <w:abstractNumId w:val="31"/>
  </w:num>
  <w:num w:numId="18">
    <w:abstractNumId w:val="19"/>
  </w:num>
  <w:num w:numId="19">
    <w:abstractNumId w:val="2"/>
  </w:num>
  <w:num w:numId="20">
    <w:abstractNumId w:val="12"/>
  </w:num>
  <w:num w:numId="21">
    <w:abstractNumId w:val="32"/>
  </w:num>
  <w:num w:numId="22">
    <w:abstractNumId w:val="24"/>
  </w:num>
  <w:num w:numId="23">
    <w:abstractNumId w:val="8"/>
  </w:num>
  <w:num w:numId="24">
    <w:abstractNumId w:val="29"/>
  </w:num>
  <w:num w:numId="25">
    <w:abstractNumId w:val="30"/>
  </w:num>
  <w:num w:numId="26">
    <w:abstractNumId w:val="4"/>
  </w:num>
  <w:num w:numId="27">
    <w:abstractNumId w:val="6"/>
  </w:num>
  <w:num w:numId="28">
    <w:abstractNumId w:val="18"/>
  </w:num>
  <w:num w:numId="29">
    <w:abstractNumId w:val="27"/>
  </w:num>
  <w:num w:numId="30">
    <w:abstractNumId w:val="26"/>
  </w:num>
  <w:num w:numId="31">
    <w:abstractNumId w:val="15"/>
    <w:lvlOverride w:ilvl="0">
      <w:lvl w:ilvl="0" w:tentative="1">
        <w:start w:val="1"/>
        <w:numFmt w:val="decimal"/>
        <w:pStyle w:val="285"/>
        <w:lvlText w:val="%1."/>
        <w:lvlJc w:val="left"/>
        <w:pPr>
          <w:ind w:left="425" w:hanging="425"/>
        </w:pPr>
        <w:rPr>
          <w:rFonts w:hint="eastAsia"/>
        </w:rPr>
      </w:lvl>
    </w:lvlOverride>
    <w:lvlOverride w:ilvl="1">
      <w:lvl w:ilvl="1" w:tentative="1">
        <w:start w:val="1"/>
        <w:numFmt w:val="decimal"/>
        <w:pStyle w:val="286"/>
        <w:lvlText w:val="%1.%2."/>
        <w:lvlJc w:val="left"/>
        <w:pPr>
          <w:ind w:left="0" w:firstLine="0"/>
        </w:pPr>
        <w:rPr>
          <w:rFonts w:hint="eastAsia"/>
        </w:rPr>
      </w:lvl>
    </w:lvlOverride>
    <w:lvlOverride w:ilvl="2">
      <w:lvl w:ilvl="2" w:tentative="1">
        <w:start w:val="1"/>
        <w:numFmt w:val="decimal"/>
        <w:pStyle w:val="288"/>
        <w:lvlText w:val="%1.%2.%3."/>
        <w:lvlJc w:val="left"/>
        <w:pPr>
          <w:ind w:left="709" w:hanging="709"/>
        </w:pPr>
        <w:rPr>
          <w:rFonts w:hint="eastAsia"/>
        </w:rPr>
      </w:lvl>
    </w:lvlOverride>
    <w:lvlOverride w:ilvl="3">
      <w:lvl w:ilvl="3" w:tentative="1">
        <w:start w:val="1"/>
        <w:numFmt w:val="decimal"/>
        <w:pStyle w:val="289"/>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 w:numId="32">
    <w:abstractNumId w:val="3"/>
  </w:num>
  <w:num w:numId="33">
    <w:abstractNumId w:val="0"/>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attachedTemplate r:id="rId1"/>
  <w:documentProtection w:edit="forms" w:enforcement="0"/>
  <w:defaultTabStop w:val="0"/>
  <w:evenAndOddHeaders w:val="1"/>
  <w:drawingGridHorizontalSpacing w:val="210"/>
  <w:drawingGridVerticalSpacing w:val="156"/>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MjM3ODFiZjA1OGUwYmE0OGUxZmI4ZTYwY2ZhN2EifQ=="/>
  </w:docVars>
  <w:rsids>
    <w:rsidRoot w:val="006C4BF0"/>
    <w:rsid w:val="0000040A"/>
    <w:rsid w:val="00000A94"/>
    <w:rsid w:val="000017A3"/>
    <w:rsid w:val="00001972"/>
    <w:rsid w:val="00001D9A"/>
    <w:rsid w:val="00001E15"/>
    <w:rsid w:val="00004FCC"/>
    <w:rsid w:val="00007B3A"/>
    <w:rsid w:val="000107E0"/>
    <w:rsid w:val="00011081"/>
    <w:rsid w:val="000118BC"/>
    <w:rsid w:val="00011FDE"/>
    <w:rsid w:val="000128A2"/>
    <w:rsid w:val="00012FFD"/>
    <w:rsid w:val="00013C2C"/>
    <w:rsid w:val="00014162"/>
    <w:rsid w:val="00014340"/>
    <w:rsid w:val="00015A08"/>
    <w:rsid w:val="00015D62"/>
    <w:rsid w:val="00016777"/>
    <w:rsid w:val="00016A9C"/>
    <w:rsid w:val="000212B4"/>
    <w:rsid w:val="00021FFF"/>
    <w:rsid w:val="00022184"/>
    <w:rsid w:val="0002245C"/>
    <w:rsid w:val="00022762"/>
    <w:rsid w:val="00022E10"/>
    <w:rsid w:val="000238E0"/>
    <w:rsid w:val="000249DB"/>
    <w:rsid w:val="0002568E"/>
    <w:rsid w:val="0002595E"/>
    <w:rsid w:val="000303C3"/>
    <w:rsid w:val="00031220"/>
    <w:rsid w:val="000314FD"/>
    <w:rsid w:val="00031F12"/>
    <w:rsid w:val="00032127"/>
    <w:rsid w:val="00032D40"/>
    <w:rsid w:val="000331D3"/>
    <w:rsid w:val="00033B26"/>
    <w:rsid w:val="00033D2E"/>
    <w:rsid w:val="000346A5"/>
    <w:rsid w:val="00034CD8"/>
    <w:rsid w:val="000359C3"/>
    <w:rsid w:val="00035A7D"/>
    <w:rsid w:val="000365ED"/>
    <w:rsid w:val="00036CB3"/>
    <w:rsid w:val="000379D6"/>
    <w:rsid w:val="00041896"/>
    <w:rsid w:val="00042450"/>
    <w:rsid w:val="0004249A"/>
    <w:rsid w:val="00043282"/>
    <w:rsid w:val="00043AEB"/>
    <w:rsid w:val="00044286"/>
    <w:rsid w:val="0004451D"/>
    <w:rsid w:val="00044F30"/>
    <w:rsid w:val="00045A38"/>
    <w:rsid w:val="00045A97"/>
    <w:rsid w:val="00046BFC"/>
    <w:rsid w:val="00047F28"/>
    <w:rsid w:val="000503AA"/>
    <w:rsid w:val="000506A1"/>
    <w:rsid w:val="00050E46"/>
    <w:rsid w:val="000515DD"/>
    <w:rsid w:val="00052234"/>
    <w:rsid w:val="0005265A"/>
    <w:rsid w:val="00053738"/>
    <w:rsid w:val="000539DD"/>
    <w:rsid w:val="00053BD3"/>
    <w:rsid w:val="00054A0F"/>
    <w:rsid w:val="000556ED"/>
    <w:rsid w:val="00055CD6"/>
    <w:rsid w:val="00055E43"/>
    <w:rsid w:val="00055FE2"/>
    <w:rsid w:val="0005616F"/>
    <w:rsid w:val="0005664C"/>
    <w:rsid w:val="000578C7"/>
    <w:rsid w:val="00057A6D"/>
    <w:rsid w:val="0006013F"/>
    <w:rsid w:val="00060797"/>
    <w:rsid w:val="00060C2E"/>
    <w:rsid w:val="00061033"/>
    <w:rsid w:val="000619E9"/>
    <w:rsid w:val="000622D4"/>
    <w:rsid w:val="0006357D"/>
    <w:rsid w:val="000657D9"/>
    <w:rsid w:val="0006583B"/>
    <w:rsid w:val="00067F1E"/>
    <w:rsid w:val="00067F6B"/>
    <w:rsid w:val="00070A7D"/>
    <w:rsid w:val="00071502"/>
    <w:rsid w:val="00071CC0"/>
    <w:rsid w:val="00071FC2"/>
    <w:rsid w:val="00073165"/>
    <w:rsid w:val="000732B1"/>
    <w:rsid w:val="00073C8C"/>
    <w:rsid w:val="00077B64"/>
    <w:rsid w:val="00080572"/>
    <w:rsid w:val="00080A1C"/>
    <w:rsid w:val="00080EC0"/>
    <w:rsid w:val="00082317"/>
    <w:rsid w:val="00082460"/>
    <w:rsid w:val="00083284"/>
    <w:rsid w:val="00083B94"/>
    <w:rsid w:val="00083D2C"/>
    <w:rsid w:val="000863C4"/>
    <w:rsid w:val="00086AA1"/>
    <w:rsid w:val="00086F28"/>
    <w:rsid w:val="0008775F"/>
    <w:rsid w:val="00087A77"/>
    <w:rsid w:val="00090874"/>
    <w:rsid w:val="00090CA6"/>
    <w:rsid w:val="00091CFB"/>
    <w:rsid w:val="00092B8A"/>
    <w:rsid w:val="00092FB0"/>
    <w:rsid w:val="000934C5"/>
    <w:rsid w:val="00093D25"/>
    <w:rsid w:val="00093DAB"/>
    <w:rsid w:val="00094D73"/>
    <w:rsid w:val="00094EFC"/>
    <w:rsid w:val="0009640C"/>
    <w:rsid w:val="00096D63"/>
    <w:rsid w:val="00096FD1"/>
    <w:rsid w:val="00097C14"/>
    <w:rsid w:val="00097DFD"/>
    <w:rsid w:val="00097F02"/>
    <w:rsid w:val="000A025D"/>
    <w:rsid w:val="000A0B60"/>
    <w:rsid w:val="000A0EB8"/>
    <w:rsid w:val="000A19FC"/>
    <w:rsid w:val="000A296B"/>
    <w:rsid w:val="000A29BE"/>
    <w:rsid w:val="000A3BBD"/>
    <w:rsid w:val="000A4E95"/>
    <w:rsid w:val="000A6990"/>
    <w:rsid w:val="000A6A11"/>
    <w:rsid w:val="000A7311"/>
    <w:rsid w:val="000B060F"/>
    <w:rsid w:val="000B143F"/>
    <w:rsid w:val="000B1592"/>
    <w:rsid w:val="000B1A79"/>
    <w:rsid w:val="000B1FF2"/>
    <w:rsid w:val="000B23F4"/>
    <w:rsid w:val="000B2698"/>
    <w:rsid w:val="000B285F"/>
    <w:rsid w:val="000B2A50"/>
    <w:rsid w:val="000B3CDA"/>
    <w:rsid w:val="000B4994"/>
    <w:rsid w:val="000B517F"/>
    <w:rsid w:val="000B532A"/>
    <w:rsid w:val="000B6093"/>
    <w:rsid w:val="000B6A0B"/>
    <w:rsid w:val="000B74AA"/>
    <w:rsid w:val="000B76FD"/>
    <w:rsid w:val="000C0688"/>
    <w:rsid w:val="000C0F6C"/>
    <w:rsid w:val="000C1050"/>
    <w:rsid w:val="000C11DB"/>
    <w:rsid w:val="000C1492"/>
    <w:rsid w:val="000C2FBD"/>
    <w:rsid w:val="000C3FA3"/>
    <w:rsid w:val="000C4022"/>
    <w:rsid w:val="000C4324"/>
    <w:rsid w:val="000C4AF8"/>
    <w:rsid w:val="000C4B41"/>
    <w:rsid w:val="000C57D6"/>
    <w:rsid w:val="000C5C01"/>
    <w:rsid w:val="000C6362"/>
    <w:rsid w:val="000C7666"/>
    <w:rsid w:val="000D0182"/>
    <w:rsid w:val="000D0A9C"/>
    <w:rsid w:val="000D1795"/>
    <w:rsid w:val="000D2AAB"/>
    <w:rsid w:val="000D2DD1"/>
    <w:rsid w:val="000D329A"/>
    <w:rsid w:val="000D478A"/>
    <w:rsid w:val="000D4B9C"/>
    <w:rsid w:val="000D4EB6"/>
    <w:rsid w:val="000D748C"/>
    <w:rsid w:val="000D753B"/>
    <w:rsid w:val="000D772C"/>
    <w:rsid w:val="000E3E12"/>
    <w:rsid w:val="000E4C9E"/>
    <w:rsid w:val="000E6300"/>
    <w:rsid w:val="000E6FD7"/>
    <w:rsid w:val="000E7055"/>
    <w:rsid w:val="000F06E1"/>
    <w:rsid w:val="000F0E3C"/>
    <w:rsid w:val="000F19D5"/>
    <w:rsid w:val="000F3A92"/>
    <w:rsid w:val="000F4603"/>
    <w:rsid w:val="000F4AEA"/>
    <w:rsid w:val="000F5181"/>
    <w:rsid w:val="000F633F"/>
    <w:rsid w:val="000F63E0"/>
    <w:rsid w:val="000F67E9"/>
    <w:rsid w:val="00100C35"/>
    <w:rsid w:val="00104926"/>
    <w:rsid w:val="00104E66"/>
    <w:rsid w:val="00104E7E"/>
    <w:rsid w:val="00111573"/>
    <w:rsid w:val="00112A52"/>
    <w:rsid w:val="00113B1E"/>
    <w:rsid w:val="0011421D"/>
    <w:rsid w:val="00115821"/>
    <w:rsid w:val="0011711C"/>
    <w:rsid w:val="00120300"/>
    <w:rsid w:val="00120305"/>
    <w:rsid w:val="0012059C"/>
    <w:rsid w:val="00120D78"/>
    <w:rsid w:val="00121462"/>
    <w:rsid w:val="00121A25"/>
    <w:rsid w:val="00122A6F"/>
    <w:rsid w:val="0012335D"/>
    <w:rsid w:val="00123475"/>
    <w:rsid w:val="00124E4F"/>
    <w:rsid w:val="001260B7"/>
    <w:rsid w:val="001265CB"/>
    <w:rsid w:val="001310E0"/>
    <w:rsid w:val="001321C6"/>
    <w:rsid w:val="001325C4"/>
    <w:rsid w:val="00133010"/>
    <w:rsid w:val="001338EE"/>
    <w:rsid w:val="00133AAE"/>
    <w:rsid w:val="001347C6"/>
    <w:rsid w:val="00135323"/>
    <w:rsid w:val="001356C4"/>
    <w:rsid w:val="001370E5"/>
    <w:rsid w:val="00141114"/>
    <w:rsid w:val="00141EB5"/>
    <w:rsid w:val="00142969"/>
    <w:rsid w:val="00143677"/>
    <w:rsid w:val="001446C2"/>
    <w:rsid w:val="00144A7A"/>
    <w:rsid w:val="00145269"/>
    <w:rsid w:val="001457E7"/>
    <w:rsid w:val="00145D9D"/>
    <w:rsid w:val="00146388"/>
    <w:rsid w:val="00146C33"/>
    <w:rsid w:val="00146EBF"/>
    <w:rsid w:val="001471DE"/>
    <w:rsid w:val="00147C5F"/>
    <w:rsid w:val="001509A9"/>
    <w:rsid w:val="001510F8"/>
    <w:rsid w:val="0015230A"/>
    <w:rsid w:val="001529E5"/>
    <w:rsid w:val="00152D29"/>
    <w:rsid w:val="00153C7E"/>
    <w:rsid w:val="00156B25"/>
    <w:rsid w:val="00156B66"/>
    <w:rsid w:val="00156E1A"/>
    <w:rsid w:val="0015712D"/>
    <w:rsid w:val="00157894"/>
    <w:rsid w:val="00157B55"/>
    <w:rsid w:val="001609A4"/>
    <w:rsid w:val="00162519"/>
    <w:rsid w:val="001625F7"/>
    <w:rsid w:val="001628E3"/>
    <w:rsid w:val="00163DA4"/>
    <w:rsid w:val="00164188"/>
    <w:rsid w:val="001642FA"/>
    <w:rsid w:val="001649EB"/>
    <w:rsid w:val="00164BAF"/>
    <w:rsid w:val="00164CF7"/>
    <w:rsid w:val="00164FA8"/>
    <w:rsid w:val="00165065"/>
    <w:rsid w:val="00165434"/>
    <w:rsid w:val="0016580B"/>
    <w:rsid w:val="00165AA6"/>
    <w:rsid w:val="00165F49"/>
    <w:rsid w:val="00166B88"/>
    <w:rsid w:val="0016770A"/>
    <w:rsid w:val="00170804"/>
    <w:rsid w:val="001708E9"/>
    <w:rsid w:val="0017108A"/>
    <w:rsid w:val="00172F35"/>
    <w:rsid w:val="0017340B"/>
    <w:rsid w:val="00173FB1"/>
    <w:rsid w:val="00175C59"/>
    <w:rsid w:val="00176DFD"/>
    <w:rsid w:val="00177E1A"/>
    <w:rsid w:val="00180FB2"/>
    <w:rsid w:val="00181DCA"/>
    <w:rsid w:val="001852C9"/>
    <w:rsid w:val="001863CA"/>
    <w:rsid w:val="0018658E"/>
    <w:rsid w:val="00186E2D"/>
    <w:rsid w:val="00190087"/>
    <w:rsid w:val="00190D1F"/>
    <w:rsid w:val="001913C4"/>
    <w:rsid w:val="0019348F"/>
    <w:rsid w:val="00193A07"/>
    <w:rsid w:val="00194183"/>
    <w:rsid w:val="00194C95"/>
    <w:rsid w:val="00194E01"/>
    <w:rsid w:val="00195C34"/>
    <w:rsid w:val="00196EF5"/>
    <w:rsid w:val="001A0856"/>
    <w:rsid w:val="001A1A53"/>
    <w:rsid w:val="001A234A"/>
    <w:rsid w:val="001A32B9"/>
    <w:rsid w:val="001A3379"/>
    <w:rsid w:val="001A368E"/>
    <w:rsid w:val="001A40BB"/>
    <w:rsid w:val="001A4CF3"/>
    <w:rsid w:val="001A58FE"/>
    <w:rsid w:val="001B06E8"/>
    <w:rsid w:val="001B3275"/>
    <w:rsid w:val="001B71D0"/>
    <w:rsid w:val="001B71EE"/>
    <w:rsid w:val="001B7C04"/>
    <w:rsid w:val="001C04A8"/>
    <w:rsid w:val="001C0573"/>
    <w:rsid w:val="001C2C03"/>
    <w:rsid w:val="001C312D"/>
    <w:rsid w:val="001C349E"/>
    <w:rsid w:val="001C42F7"/>
    <w:rsid w:val="001C4594"/>
    <w:rsid w:val="001C4655"/>
    <w:rsid w:val="001C49E5"/>
    <w:rsid w:val="001C4D06"/>
    <w:rsid w:val="001C5578"/>
    <w:rsid w:val="001C632D"/>
    <w:rsid w:val="001C680C"/>
    <w:rsid w:val="001C7FEA"/>
    <w:rsid w:val="001D0499"/>
    <w:rsid w:val="001D0BBE"/>
    <w:rsid w:val="001D0C71"/>
    <w:rsid w:val="001D0ED4"/>
    <w:rsid w:val="001D1411"/>
    <w:rsid w:val="001D212F"/>
    <w:rsid w:val="001D29D7"/>
    <w:rsid w:val="001D2D10"/>
    <w:rsid w:val="001D2DE7"/>
    <w:rsid w:val="001D2F65"/>
    <w:rsid w:val="001D395C"/>
    <w:rsid w:val="001D411C"/>
    <w:rsid w:val="001D579C"/>
    <w:rsid w:val="001D7312"/>
    <w:rsid w:val="001E0AF2"/>
    <w:rsid w:val="001E1B6A"/>
    <w:rsid w:val="001E2484"/>
    <w:rsid w:val="001E3CC4"/>
    <w:rsid w:val="001E4882"/>
    <w:rsid w:val="001E49F9"/>
    <w:rsid w:val="001E4A84"/>
    <w:rsid w:val="001E5002"/>
    <w:rsid w:val="001E501D"/>
    <w:rsid w:val="001E5A50"/>
    <w:rsid w:val="001E5AFC"/>
    <w:rsid w:val="001E6EF5"/>
    <w:rsid w:val="001E73AB"/>
    <w:rsid w:val="001E7D7D"/>
    <w:rsid w:val="001F092D"/>
    <w:rsid w:val="001F143A"/>
    <w:rsid w:val="001F1605"/>
    <w:rsid w:val="001F2508"/>
    <w:rsid w:val="001F4816"/>
    <w:rsid w:val="001F4D6F"/>
    <w:rsid w:val="001F4EE9"/>
    <w:rsid w:val="001F69B4"/>
    <w:rsid w:val="001F77C7"/>
    <w:rsid w:val="00200183"/>
    <w:rsid w:val="00200333"/>
    <w:rsid w:val="0020107D"/>
    <w:rsid w:val="0020114E"/>
    <w:rsid w:val="002021FC"/>
    <w:rsid w:val="00202576"/>
    <w:rsid w:val="00202AA4"/>
    <w:rsid w:val="00203062"/>
    <w:rsid w:val="002031F7"/>
    <w:rsid w:val="00203632"/>
    <w:rsid w:val="002040E6"/>
    <w:rsid w:val="0020467D"/>
    <w:rsid w:val="00204F2C"/>
    <w:rsid w:val="0020527B"/>
    <w:rsid w:val="00205F2C"/>
    <w:rsid w:val="00206AC2"/>
    <w:rsid w:val="00206B00"/>
    <w:rsid w:val="00206F2C"/>
    <w:rsid w:val="00210B15"/>
    <w:rsid w:val="00211E79"/>
    <w:rsid w:val="002131B4"/>
    <w:rsid w:val="002137E6"/>
    <w:rsid w:val="00213DA3"/>
    <w:rsid w:val="002142EA"/>
    <w:rsid w:val="00215B1D"/>
    <w:rsid w:val="00215CB1"/>
    <w:rsid w:val="00217ADA"/>
    <w:rsid w:val="00217F2A"/>
    <w:rsid w:val="002204BB"/>
    <w:rsid w:val="00220C82"/>
    <w:rsid w:val="00221B79"/>
    <w:rsid w:val="00221C6B"/>
    <w:rsid w:val="00221D90"/>
    <w:rsid w:val="00223324"/>
    <w:rsid w:val="00223704"/>
    <w:rsid w:val="00223D77"/>
    <w:rsid w:val="00224B7B"/>
    <w:rsid w:val="002253A1"/>
    <w:rsid w:val="0022573A"/>
    <w:rsid w:val="00225CF8"/>
    <w:rsid w:val="0022794E"/>
    <w:rsid w:val="0023051D"/>
    <w:rsid w:val="00230F57"/>
    <w:rsid w:val="002310A6"/>
    <w:rsid w:val="00233AC5"/>
    <w:rsid w:val="00233D64"/>
    <w:rsid w:val="00233FD2"/>
    <w:rsid w:val="00234535"/>
    <w:rsid w:val="0023482A"/>
    <w:rsid w:val="00234DFB"/>
    <w:rsid w:val="002359CB"/>
    <w:rsid w:val="002368B3"/>
    <w:rsid w:val="00236B2C"/>
    <w:rsid w:val="00236EDB"/>
    <w:rsid w:val="00237AEA"/>
    <w:rsid w:val="00240434"/>
    <w:rsid w:val="00240876"/>
    <w:rsid w:val="00241377"/>
    <w:rsid w:val="00243540"/>
    <w:rsid w:val="0024497B"/>
    <w:rsid w:val="00244D9F"/>
    <w:rsid w:val="00244DCE"/>
    <w:rsid w:val="0024515B"/>
    <w:rsid w:val="00245576"/>
    <w:rsid w:val="00246021"/>
    <w:rsid w:val="0024666E"/>
    <w:rsid w:val="00247F52"/>
    <w:rsid w:val="00250B25"/>
    <w:rsid w:val="00250BBE"/>
    <w:rsid w:val="002515BC"/>
    <w:rsid w:val="002515C2"/>
    <w:rsid w:val="0025194F"/>
    <w:rsid w:val="00252885"/>
    <w:rsid w:val="002537F3"/>
    <w:rsid w:val="00253B42"/>
    <w:rsid w:val="002551FB"/>
    <w:rsid w:val="002559E5"/>
    <w:rsid w:val="0025757C"/>
    <w:rsid w:val="00257656"/>
    <w:rsid w:val="0026099D"/>
    <w:rsid w:val="0026148A"/>
    <w:rsid w:val="00261CE8"/>
    <w:rsid w:val="0026234C"/>
    <w:rsid w:val="00262696"/>
    <w:rsid w:val="00263093"/>
    <w:rsid w:val="00263ACF"/>
    <w:rsid w:val="00263D25"/>
    <w:rsid w:val="002643C3"/>
    <w:rsid w:val="00264A0C"/>
    <w:rsid w:val="002650E0"/>
    <w:rsid w:val="0026558A"/>
    <w:rsid w:val="00266D6A"/>
    <w:rsid w:val="00266EEB"/>
    <w:rsid w:val="00267EF4"/>
    <w:rsid w:val="00270CB8"/>
    <w:rsid w:val="002716FC"/>
    <w:rsid w:val="00271A94"/>
    <w:rsid w:val="00272722"/>
    <w:rsid w:val="0027286E"/>
    <w:rsid w:val="00272B08"/>
    <w:rsid w:val="002735FC"/>
    <w:rsid w:val="002744D5"/>
    <w:rsid w:val="00275214"/>
    <w:rsid w:val="00276750"/>
    <w:rsid w:val="002771AC"/>
    <w:rsid w:val="00280687"/>
    <w:rsid w:val="00281BB8"/>
    <w:rsid w:val="00281E9E"/>
    <w:rsid w:val="00282405"/>
    <w:rsid w:val="00282488"/>
    <w:rsid w:val="00282E55"/>
    <w:rsid w:val="00283632"/>
    <w:rsid w:val="00283F51"/>
    <w:rsid w:val="00285170"/>
    <w:rsid w:val="00285361"/>
    <w:rsid w:val="00286AEA"/>
    <w:rsid w:val="00287900"/>
    <w:rsid w:val="0029114D"/>
    <w:rsid w:val="00291415"/>
    <w:rsid w:val="002915E3"/>
    <w:rsid w:val="00291F5D"/>
    <w:rsid w:val="00292D60"/>
    <w:rsid w:val="00293B30"/>
    <w:rsid w:val="00294D34"/>
    <w:rsid w:val="00294E3B"/>
    <w:rsid w:val="0029553C"/>
    <w:rsid w:val="00296193"/>
    <w:rsid w:val="00296C66"/>
    <w:rsid w:val="00296EBE"/>
    <w:rsid w:val="002974E3"/>
    <w:rsid w:val="0029777A"/>
    <w:rsid w:val="002A084B"/>
    <w:rsid w:val="002A1260"/>
    <w:rsid w:val="002A1589"/>
    <w:rsid w:val="002A1608"/>
    <w:rsid w:val="002A1EA6"/>
    <w:rsid w:val="002A25DC"/>
    <w:rsid w:val="002A28CB"/>
    <w:rsid w:val="002A3AAB"/>
    <w:rsid w:val="002A3F7D"/>
    <w:rsid w:val="002A4CEA"/>
    <w:rsid w:val="002A4D88"/>
    <w:rsid w:val="002A4F6F"/>
    <w:rsid w:val="002A5977"/>
    <w:rsid w:val="002A5A13"/>
    <w:rsid w:val="002A61C1"/>
    <w:rsid w:val="002A6B3A"/>
    <w:rsid w:val="002A757F"/>
    <w:rsid w:val="002A76FE"/>
    <w:rsid w:val="002A7782"/>
    <w:rsid w:val="002A7F44"/>
    <w:rsid w:val="002B0C40"/>
    <w:rsid w:val="002B154B"/>
    <w:rsid w:val="002B1966"/>
    <w:rsid w:val="002B2150"/>
    <w:rsid w:val="002B3E38"/>
    <w:rsid w:val="002B4508"/>
    <w:rsid w:val="002B5542"/>
    <w:rsid w:val="002B5779"/>
    <w:rsid w:val="002B7332"/>
    <w:rsid w:val="002B7497"/>
    <w:rsid w:val="002B7F51"/>
    <w:rsid w:val="002C0253"/>
    <w:rsid w:val="002C0301"/>
    <w:rsid w:val="002C09E7"/>
    <w:rsid w:val="002C0A8D"/>
    <w:rsid w:val="002C1E06"/>
    <w:rsid w:val="002C1E1C"/>
    <w:rsid w:val="002C1F7A"/>
    <w:rsid w:val="002C2063"/>
    <w:rsid w:val="002C27BB"/>
    <w:rsid w:val="002C2EF0"/>
    <w:rsid w:val="002C3F07"/>
    <w:rsid w:val="002C5278"/>
    <w:rsid w:val="002C6A21"/>
    <w:rsid w:val="002C7EBB"/>
    <w:rsid w:val="002D06C1"/>
    <w:rsid w:val="002D1253"/>
    <w:rsid w:val="002D1ACB"/>
    <w:rsid w:val="002D25F6"/>
    <w:rsid w:val="002D42B5"/>
    <w:rsid w:val="002D4F1A"/>
    <w:rsid w:val="002D5E8C"/>
    <w:rsid w:val="002D6EC6"/>
    <w:rsid w:val="002D7070"/>
    <w:rsid w:val="002D7326"/>
    <w:rsid w:val="002D79AC"/>
    <w:rsid w:val="002E039D"/>
    <w:rsid w:val="002E4D5A"/>
    <w:rsid w:val="002E5E09"/>
    <w:rsid w:val="002E6326"/>
    <w:rsid w:val="002E64B3"/>
    <w:rsid w:val="002F0A02"/>
    <w:rsid w:val="002F1ED5"/>
    <w:rsid w:val="002F30E0"/>
    <w:rsid w:val="002F31B6"/>
    <w:rsid w:val="002F35E4"/>
    <w:rsid w:val="002F3730"/>
    <w:rsid w:val="002F38E1"/>
    <w:rsid w:val="002F4338"/>
    <w:rsid w:val="002F54F3"/>
    <w:rsid w:val="002F62F2"/>
    <w:rsid w:val="002F7946"/>
    <w:rsid w:val="002F7AF6"/>
    <w:rsid w:val="00300A50"/>
    <w:rsid w:val="00300E63"/>
    <w:rsid w:val="00301C8A"/>
    <w:rsid w:val="003020F5"/>
    <w:rsid w:val="00302F5F"/>
    <w:rsid w:val="00303E7C"/>
    <w:rsid w:val="0030441D"/>
    <w:rsid w:val="00306063"/>
    <w:rsid w:val="00307138"/>
    <w:rsid w:val="003103D8"/>
    <w:rsid w:val="00312358"/>
    <w:rsid w:val="00312490"/>
    <w:rsid w:val="00312E29"/>
    <w:rsid w:val="00313B85"/>
    <w:rsid w:val="00314309"/>
    <w:rsid w:val="00315FCE"/>
    <w:rsid w:val="00316DDB"/>
    <w:rsid w:val="00317548"/>
    <w:rsid w:val="00317988"/>
    <w:rsid w:val="00320678"/>
    <w:rsid w:val="00320B06"/>
    <w:rsid w:val="00321947"/>
    <w:rsid w:val="003221B4"/>
    <w:rsid w:val="0032258D"/>
    <w:rsid w:val="00322E62"/>
    <w:rsid w:val="00323451"/>
    <w:rsid w:val="00323DD7"/>
    <w:rsid w:val="00324B67"/>
    <w:rsid w:val="00324D13"/>
    <w:rsid w:val="00324D2A"/>
    <w:rsid w:val="00324EDD"/>
    <w:rsid w:val="0032771E"/>
    <w:rsid w:val="003319B3"/>
    <w:rsid w:val="003328A2"/>
    <w:rsid w:val="00332C2C"/>
    <w:rsid w:val="003331E4"/>
    <w:rsid w:val="00334616"/>
    <w:rsid w:val="00336C64"/>
    <w:rsid w:val="00336D78"/>
    <w:rsid w:val="00337162"/>
    <w:rsid w:val="0034194F"/>
    <w:rsid w:val="003419F6"/>
    <w:rsid w:val="00343ED8"/>
    <w:rsid w:val="00344605"/>
    <w:rsid w:val="0034506A"/>
    <w:rsid w:val="003457D1"/>
    <w:rsid w:val="003474AA"/>
    <w:rsid w:val="00347CC7"/>
    <w:rsid w:val="00350D1D"/>
    <w:rsid w:val="0035246B"/>
    <w:rsid w:val="003529B1"/>
    <w:rsid w:val="00352C83"/>
    <w:rsid w:val="00355A67"/>
    <w:rsid w:val="00356701"/>
    <w:rsid w:val="003573CF"/>
    <w:rsid w:val="00357633"/>
    <w:rsid w:val="00357D5F"/>
    <w:rsid w:val="0036008D"/>
    <w:rsid w:val="003615D2"/>
    <w:rsid w:val="00361746"/>
    <w:rsid w:val="003619CF"/>
    <w:rsid w:val="00361EF8"/>
    <w:rsid w:val="0036429C"/>
    <w:rsid w:val="00364A53"/>
    <w:rsid w:val="00364EBD"/>
    <w:rsid w:val="003654CB"/>
    <w:rsid w:val="00365AA9"/>
    <w:rsid w:val="00365F86"/>
    <w:rsid w:val="00365F87"/>
    <w:rsid w:val="00366CB6"/>
    <w:rsid w:val="00366E89"/>
    <w:rsid w:val="003670E0"/>
    <w:rsid w:val="0036794A"/>
    <w:rsid w:val="00367A7F"/>
    <w:rsid w:val="0037051B"/>
    <w:rsid w:val="003705F4"/>
    <w:rsid w:val="00370B7A"/>
    <w:rsid w:val="00370D58"/>
    <w:rsid w:val="00371316"/>
    <w:rsid w:val="00371D3E"/>
    <w:rsid w:val="00372ACF"/>
    <w:rsid w:val="00372C06"/>
    <w:rsid w:val="003743C8"/>
    <w:rsid w:val="00375178"/>
    <w:rsid w:val="00376713"/>
    <w:rsid w:val="0037765B"/>
    <w:rsid w:val="00381815"/>
    <w:rsid w:val="003819AF"/>
    <w:rsid w:val="003820E9"/>
    <w:rsid w:val="00382DE7"/>
    <w:rsid w:val="00383450"/>
    <w:rsid w:val="00383E16"/>
    <w:rsid w:val="00384C7B"/>
    <w:rsid w:val="00384FFC"/>
    <w:rsid w:val="00385157"/>
    <w:rsid w:val="003852F1"/>
    <w:rsid w:val="003855D0"/>
    <w:rsid w:val="003868DB"/>
    <w:rsid w:val="00386F5E"/>
    <w:rsid w:val="003872FC"/>
    <w:rsid w:val="00387ADC"/>
    <w:rsid w:val="00390020"/>
    <w:rsid w:val="003903D6"/>
    <w:rsid w:val="00390EE6"/>
    <w:rsid w:val="0039118F"/>
    <w:rsid w:val="00391AD8"/>
    <w:rsid w:val="00392AD7"/>
    <w:rsid w:val="003938D9"/>
    <w:rsid w:val="00394376"/>
    <w:rsid w:val="003943FF"/>
    <w:rsid w:val="00394983"/>
    <w:rsid w:val="00395700"/>
    <w:rsid w:val="00395DDD"/>
    <w:rsid w:val="00395E87"/>
    <w:rsid w:val="003969B9"/>
    <w:rsid w:val="00396ACD"/>
    <w:rsid w:val="003974EB"/>
    <w:rsid w:val="003979F4"/>
    <w:rsid w:val="00397CC5"/>
    <w:rsid w:val="003A12FE"/>
    <w:rsid w:val="003A1582"/>
    <w:rsid w:val="003A18EA"/>
    <w:rsid w:val="003A1A92"/>
    <w:rsid w:val="003A1F63"/>
    <w:rsid w:val="003A211D"/>
    <w:rsid w:val="003A4038"/>
    <w:rsid w:val="003A4077"/>
    <w:rsid w:val="003A4222"/>
    <w:rsid w:val="003A4C7C"/>
    <w:rsid w:val="003A4FEF"/>
    <w:rsid w:val="003A5393"/>
    <w:rsid w:val="003A57D0"/>
    <w:rsid w:val="003B09AD"/>
    <w:rsid w:val="003B0A4A"/>
    <w:rsid w:val="003B1F18"/>
    <w:rsid w:val="003B2025"/>
    <w:rsid w:val="003B3798"/>
    <w:rsid w:val="003B4904"/>
    <w:rsid w:val="003B55A6"/>
    <w:rsid w:val="003B5BC9"/>
    <w:rsid w:val="003B5BF0"/>
    <w:rsid w:val="003B5EEA"/>
    <w:rsid w:val="003B60BF"/>
    <w:rsid w:val="003B6BE3"/>
    <w:rsid w:val="003C010C"/>
    <w:rsid w:val="003C0A6C"/>
    <w:rsid w:val="003C1407"/>
    <w:rsid w:val="003C14F8"/>
    <w:rsid w:val="003C1F09"/>
    <w:rsid w:val="003C257F"/>
    <w:rsid w:val="003C2BE1"/>
    <w:rsid w:val="003C481D"/>
    <w:rsid w:val="003C496E"/>
    <w:rsid w:val="003C4FBC"/>
    <w:rsid w:val="003C544A"/>
    <w:rsid w:val="003C5A43"/>
    <w:rsid w:val="003C7F82"/>
    <w:rsid w:val="003D0362"/>
    <w:rsid w:val="003D0519"/>
    <w:rsid w:val="003D0D6E"/>
    <w:rsid w:val="003D0FF6"/>
    <w:rsid w:val="003D262C"/>
    <w:rsid w:val="003D3166"/>
    <w:rsid w:val="003D3BEA"/>
    <w:rsid w:val="003D4A30"/>
    <w:rsid w:val="003D53D2"/>
    <w:rsid w:val="003D6D61"/>
    <w:rsid w:val="003D710E"/>
    <w:rsid w:val="003D79C6"/>
    <w:rsid w:val="003E091D"/>
    <w:rsid w:val="003E1C53"/>
    <w:rsid w:val="003E2A69"/>
    <w:rsid w:val="003E2D49"/>
    <w:rsid w:val="003E2F89"/>
    <w:rsid w:val="003E2FD4"/>
    <w:rsid w:val="003E3902"/>
    <w:rsid w:val="003E49F6"/>
    <w:rsid w:val="003E660F"/>
    <w:rsid w:val="003E7B61"/>
    <w:rsid w:val="003F0841"/>
    <w:rsid w:val="003F0C03"/>
    <w:rsid w:val="003F1ADD"/>
    <w:rsid w:val="003F23D3"/>
    <w:rsid w:val="003F3F08"/>
    <w:rsid w:val="003F49F1"/>
    <w:rsid w:val="003F6272"/>
    <w:rsid w:val="003F6356"/>
    <w:rsid w:val="003F6950"/>
    <w:rsid w:val="003F6F10"/>
    <w:rsid w:val="003F7359"/>
    <w:rsid w:val="003F7B34"/>
    <w:rsid w:val="004003E1"/>
    <w:rsid w:val="00400E72"/>
    <w:rsid w:val="00401400"/>
    <w:rsid w:val="00401F0D"/>
    <w:rsid w:val="00402588"/>
    <w:rsid w:val="00402780"/>
    <w:rsid w:val="00403499"/>
    <w:rsid w:val="004035C9"/>
    <w:rsid w:val="00403CF1"/>
    <w:rsid w:val="004042A6"/>
    <w:rsid w:val="00404869"/>
    <w:rsid w:val="00404D8D"/>
    <w:rsid w:val="004053C2"/>
    <w:rsid w:val="00405647"/>
    <w:rsid w:val="00405884"/>
    <w:rsid w:val="0040719F"/>
    <w:rsid w:val="004079DE"/>
    <w:rsid w:val="00407D39"/>
    <w:rsid w:val="0041179B"/>
    <w:rsid w:val="00411EA5"/>
    <w:rsid w:val="004145D3"/>
    <w:rsid w:val="0041477A"/>
    <w:rsid w:val="00415740"/>
    <w:rsid w:val="004167A3"/>
    <w:rsid w:val="00417789"/>
    <w:rsid w:val="004203F8"/>
    <w:rsid w:val="004210E4"/>
    <w:rsid w:val="00422DD4"/>
    <w:rsid w:val="00424F7F"/>
    <w:rsid w:val="00425969"/>
    <w:rsid w:val="004267FA"/>
    <w:rsid w:val="00431101"/>
    <w:rsid w:val="00431218"/>
    <w:rsid w:val="00432DAA"/>
    <w:rsid w:val="00434305"/>
    <w:rsid w:val="00434EA3"/>
    <w:rsid w:val="00435DF7"/>
    <w:rsid w:val="00436729"/>
    <w:rsid w:val="004371B8"/>
    <w:rsid w:val="004371C5"/>
    <w:rsid w:val="00437DE0"/>
    <w:rsid w:val="0044083F"/>
    <w:rsid w:val="00441393"/>
    <w:rsid w:val="004416B0"/>
    <w:rsid w:val="00441AE7"/>
    <w:rsid w:val="00442F4C"/>
    <w:rsid w:val="00445574"/>
    <w:rsid w:val="004467FB"/>
    <w:rsid w:val="00447D10"/>
    <w:rsid w:val="00450B98"/>
    <w:rsid w:val="00451A0B"/>
    <w:rsid w:val="00451A42"/>
    <w:rsid w:val="00452D6B"/>
    <w:rsid w:val="00453EE9"/>
    <w:rsid w:val="00454484"/>
    <w:rsid w:val="00454901"/>
    <w:rsid w:val="0045517B"/>
    <w:rsid w:val="00455EEA"/>
    <w:rsid w:val="0045655E"/>
    <w:rsid w:val="00462301"/>
    <w:rsid w:val="00462532"/>
    <w:rsid w:val="00462960"/>
    <w:rsid w:val="00463AC3"/>
    <w:rsid w:val="00463B77"/>
    <w:rsid w:val="00463C7B"/>
    <w:rsid w:val="004644A6"/>
    <w:rsid w:val="004659BD"/>
    <w:rsid w:val="004659F4"/>
    <w:rsid w:val="004702F9"/>
    <w:rsid w:val="00470401"/>
    <w:rsid w:val="004706C1"/>
    <w:rsid w:val="00470775"/>
    <w:rsid w:val="004729B0"/>
    <w:rsid w:val="00473157"/>
    <w:rsid w:val="004746B1"/>
    <w:rsid w:val="0047583F"/>
    <w:rsid w:val="00475DE8"/>
    <w:rsid w:val="00476AC8"/>
    <w:rsid w:val="00481C44"/>
    <w:rsid w:val="00481E87"/>
    <w:rsid w:val="00484936"/>
    <w:rsid w:val="00485C89"/>
    <w:rsid w:val="00486962"/>
    <w:rsid w:val="00486BE3"/>
    <w:rsid w:val="004905E4"/>
    <w:rsid w:val="00490A4C"/>
    <w:rsid w:val="00490A89"/>
    <w:rsid w:val="00490AB4"/>
    <w:rsid w:val="00491838"/>
    <w:rsid w:val="00491BBD"/>
    <w:rsid w:val="0049297C"/>
    <w:rsid w:val="00492F02"/>
    <w:rsid w:val="004939AE"/>
    <w:rsid w:val="0049511B"/>
    <w:rsid w:val="00495336"/>
    <w:rsid w:val="004A04B7"/>
    <w:rsid w:val="004A07F0"/>
    <w:rsid w:val="004A12DF"/>
    <w:rsid w:val="004A17E6"/>
    <w:rsid w:val="004A1AD0"/>
    <w:rsid w:val="004A1BA8"/>
    <w:rsid w:val="004A321F"/>
    <w:rsid w:val="004A39F7"/>
    <w:rsid w:val="004A3D09"/>
    <w:rsid w:val="004A48D1"/>
    <w:rsid w:val="004A4B57"/>
    <w:rsid w:val="004A5BDB"/>
    <w:rsid w:val="004A63FA"/>
    <w:rsid w:val="004A774B"/>
    <w:rsid w:val="004A7E43"/>
    <w:rsid w:val="004B0272"/>
    <w:rsid w:val="004B2701"/>
    <w:rsid w:val="004B2E1B"/>
    <w:rsid w:val="004B3AA8"/>
    <w:rsid w:val="004B3E93"/>
    <w:rsid w:val="004B3FE9"/>
    <w:rsid w:val="004B5459"/>
    <w:rsid w:val="004B60EC"/>
    <w:rsid w:val="004B7A5B"/>
    <w:rsid w:val="004C12D7"/>
    <w:rsid w:val="004C12E5"/>
    <w:rsid w:val="004C162F"/>
    <w:rsid w:val="004C1B35"/>
    <w:rsid w:val="004C1C83"/>
    <w:rsid w:val="004C1FBC"/>
    <w:rsid w:val="004C3F1D"/>
    <w:rsid w:val="004C40F0"/>
    <w:rsid w:val="004C458D"/>
    <w:rsid w:val="004C494B"/>
    <w:rsid w:val="004C5154"/>
    <w:rsid w:val="004C5DC8"/>
    <w:rsid w:val="004C66D7"/>
    <w:rsid w:val="004C7556"/>
    <w:rsid w:val="004C7E8B"/>
    <w:rsid w:val="004C7E9D"/>
    <w:rsid w:val="004C7F67"/>
    <w:rsid w:val="004D076D"/>
    <w:rsid w:val="004D0EF1"/>
    <w:rsid w:val="004D1DB2"/>
    <w:rsid w:val="004D2253"/>
    <w:rsid w:val="004D3DCE"/>
    <w:rsid w:val="004D4406"/>
    <w:rsid w:val="004D6095"/>
    <w:rsid w:val="004D69E8"/>
    <w:rsid w:val="004D6BD3"/>
    <w:rsid w:val="004D7C42"/>
    <w:rsid w:val="004E0465"/>
    <w:rsid w:val="004E1021"/>
    <w:rsid w:val="004E127B"/>
    <w:rsid w:val="004E1C0A"/>
    <w:rsid w:val="004E2198"/>
    <w:rsid w:val="004E2871"/>
    <w:rsid w:val="004E2B06"/>
    <w:rsid w:val="004E30C5"/>
    <w:rsid w:val="004E48A9"/>
    <w:rsid w:val="004E48AD"/>
    <w:rsid w:val="004E4AA5"/>
    <w:rsid w:val="004E4AEE"/>
    <w:rsid w:val="004E59E3"/>
    <w:rsid w:val="004E67C0"/>
    <w:rsid w:val="004E6DD0"/>
    <w:rsid w:val="004E7DE0"/>
    <w:rsid w:val="004F0658"/>
    <w:rsid w:val="004F0EAA"/>
    <w:rsid w:val="004F391A"/>
    <w:rsid w:val="004F3CFB"/>
    <w:rsid w:val="004F607F"/>
    <w:rsid w:val="004F6456"/>
    <w:rsid w:val="004F696E"/>
    <w:rsid w:val="004F6C71"/>
    <w:rsid w:val="00500C18"/>
    <w:rsid w:val="00501139"/>
    <w:rsid w:val="0050126D"/>
    <w:rsid w:val="005016BA"/>
    <w:rsid w:val="0050363E"/>
    <w:rsid w:val="005039BC"/>
    <w:rsid w:val="005043BB"/>
    <w:rsid w:val="0050457D"/>
    <w:rsid w:val="0050460A"/>
    <w:rsid w:val="00504A3D"/>
    <w:rsid w:val="00505767"/>
    <w:rsid w:val="00505963"/>
    <w:rsid w:val="00505B7D"/>
    <w:rsid w:val="00506F99"/>
    <w:rsid w:val="005073F0"/>
    <w:rsid w:val="00510091"/>
    <w:rsid w:val="00510A7B"/>
    <w:rsid w:val="00510A96"/>
    <w:rsid w:val="00511F39"/>
    <w:rsid w:val="00512F6E"/>
    <w:rsid w:val="00513038"/>
    <w:rsid w:val="00514174"/>
    <w:rsid w:val="005150D3"/>
    <w:rsid w:val="00516088"/>
    <w:rsid w:val="00516B0B"/>
    <w:rsid w:val="0051736C"/>
    <w:rsid w:val="00521E3F"/>
    <w:rsid w:val="005220EC"/>
    <w:rsid w:val="00523C25"/>
    <w:rsid w:val="00523F95"/>
    <w:rsid w:val="00524B61"/>
    <w:rsid w:val="00524D65"/>
    <w:rsid w:val="0052512E"/>
    <w:rsid w:val="00525B16"/>
    <w:rsid w:val="005317E8"/>
    <w:rsid w:val="0053228D"/>
    <w:rsid w:val="00532C0A"/>
    <w:rsid w:val="00533AFE"/>
    <w:rsid w:val="00533D04"/>
    <w:rsid w:val="005340F4"/>
    <w:rsid w:val="00534804"/>
    <w:rsid w:val="00534BDF"/>
    <w:rsid w:val="005354EA"/>
    <w:rsid w:val="00535577"/>
    <w:rsid w:val="0053585F"/>
    <w:rsid w:val="00535CD5"/>
    <w:rsid w:val="00535EC4"/>
    <w:rsid w:val="00535ED9"/>
    <w:rsid w:val="0053692B"/>
    <w:rsid w:val="0053773D"/>
    <w:rsid w:val="00540477"/>
    <w:rsid w:val="0054170F"/>
    <w:rsid w:val="00541853"/>
    <w:rsid w:val="00541B90"/>
    <w:rsid w:val="00542E07"/>
    <w:rsid w:val="00543897"/>
    <w:rsid w:val="00543BDA"/>
    <w:rsid w:val="005441CC"/>
    <w:rsid w:val="0054531A"/>
    <w:rsid w:val="0054639C"/>
    <w:rsid w:val="00546E8F"/>
    <w:rsid w:val="00547184"/>
    <w:rsid w:val="005479DA"/>
    <w:rsid w:val="00547BCC"/>
    <w:rsid w:val="0055013B"/>
    <w:rsid w:val="00551F6F"/>
    <w:rsid w:val="005530D8"/>
    <w:rsid w:val="005539DF"/>
    <w:rsid w:val="00555044"/>
    <w:rsid w:val="005550F8"/>
    <w:rsid w:val="00556393"/>
    <w:rsid w:val="00556CBC"/>
    <w:rsid w:val="00557D19"/>
    <w:rsid w:val="00560486"/>
    <w:rsid w:val="00561291"/>
    <w:rsid w:val="00561475"/>
    <w:rsid w:val="00561B41"/>
    <w:rsid w:val="0056487B"/>
    <w:rsid w:val="00564FB9"/>
    <w:rsid w:val="005732AC"/>
    <w:rsid w:val="00573D9E"/>
    <w:rsid w:val="00574F09"/>
    <w:rsid w:val="005764AB"/>
    <w:rsid w:val="00576D1C"/>
    <w:rsid w:val="005775BC"/>
    <w:rsid w:val="00577ACA"/>
    <w:rsid w:val="005801E3"/>
    <w:rsid w:val="00580C74"/>
    <w:rsid w:val="00581802"/>
    <w:rsid w:val="005836A8"/>
    <w:rsid w:val="0058409C"/>
    <w:rsid w:val="00584262"/>
    <w:rsid w:val="005854C9"/>
    <w:rsid w:val="00585933"/>
    <w:rsid w:val="00585B5A"/>
    <w:rsid w:val="00585F99"/>
    <w:rsid w:val="00586630"/>
    <w:rsid w:val="00586751"/>
    <w:rsid w:val="00586F75"/>
    <w:rsid w:val="00587ADD"/>
    <w:rsid w:val="00591E27"/>
    <w:rsid w:val="0059281D"/>
    <w:rsid w:val="00595630"/>
    <w:rsid w:val="00596160"/>
    <w:rsid w:val="005966E2"/>
    <w:rsid w:val="00597007"/>
    <w:rsid w:val="00597636"/>
    <w:rsid w:val="005A0426"/>
    <w:rsid w:val="005A0966"/>
    <w:rsid w:val="005A11B7"/>
    <w:rsid w:val="005A1346"/>
    <w:rsid w:val="005A13C9"/>
    <w:rsid w:val="005A1991"/>
    <w:rsid w:val="005A2088"/>
    <w:rsid w:val="005A2582"/>
    <w:rsid w:val="005A260B"/>
    <w:rsid w:val="005A36D5"/>
    <w:rsid w:val="005A4040"/>
    <w:rsid w:val="005A40DE"/>
    <w:rsid w:val="005A415A"/>
    <w:rsid w:val="005A4A1B"/>
    <w:rsid w:val="005A5687"/>
    <w:rsid w:val="005A6CF9"/>
    <w:rsid w:val="005A7830"/>
    <w:rsid w:val="005A7FCE"/>
    <w:rsid w:val="005B0F3F"/>
    <w:rsid w:val="005B4903"/>
    <w:rsid w:val="005B51CE"/>
    <w:rsid w:val="005B5885"/>
    <w:rsid w:val="005B5CD7"/>
    <w:rsid w:val="005B6CF6"/>
    <w:rsid w:val="005B7422"/>
    <w:rsid w:val="005B7B7F"/>
    <w:rsid w:val="005C0A02"/>
    <w:rsid w:val="005C2520"/>
    <w:rsid w:val="005C25E5"/>
    <w:rsid w:val="005C29B8"/>
    <w:rsid w:val="005C2FEC"/>
    <w:rsid w:val="005C4E85"/>
    <w:rsid w:val="005C4F36"/>
    <w:rsid w:val="005C5DA8"/>
    <w:rsid w:val="005C5F21"/>
    <w:rsid w:val="005C6E98"/>
    <w:rsid w:val="005C7156"/>
    <w:rsid w:val="005C7A97"/>
    <w:rsid w:val="005C7F45"/>
    <w:rsid w:val="005D095D"/>
    <w:rsid w:val="005D0C75"/>
    <w:rsid w:val="005D19BD"/>
    <w:rsid w:val="005D1BB7"/>
    <w:rsid w:val="005D1E4D"/>
    <w:rsid w:val="005D23FD"/>
    <w:rsid w:val="005D3419"/>
    <w:rsid w:val="005D4171"/>
    <w:rsid w:val="005D6933"/>
    <w:rsid w:val="005D6A95"/>
    <w:rsid w:val="005D6B2C"/>
    <w:rsid w:val="005D6D9C"/>
    <w:rsid w:val="005D7E52"/>
    <w:rsid w:val="005E09F2"/>
    <w:rsid w:val="005E0E22"/>
    <w:rsid w:val="005E2335"/>
    <w:rsid w:val="005E34CA"/>
    <w:rsid w:val="005E3C18"/>
    <w:rsid w:val="005E5692"/>
    <w:rsid w:val="005E59AE"/>
    <w:rsid w:val="005E6812"/>
    <w:rsid w:val="005E7881"/>
    <w:rsid w:val="005E78E0"/>
    <w:rsid w:val="005F0D9C"/>
    <w:rsid w:val="005F107F"/>
    <w:rsid w:val="005F284E"/>
    <w:rsid w:val="005F3B35"/>
    <w:rsid w:val="005F4712"/>
    <w:rsid w:val="005F625A"/>
    <w:rsid w:val="005F6E89"/>
    <w:rsid w:val="005F76F8"/>
    <w:rsid w:val="005F7D73"/>
    <w:rsid w:val="006006BD"/>
    <w:rsid w:val="006007CA"/>
    <w:rsid w:val="006015CE"/>
    <w:rsid w:val="00603E5F"/>
    <w:rsid w:val="006042C4"/>
    <w:rsid w:val="0060444D"/>
    <w:rsid w:val="00604784"/>
    <w:rsid w:val="00604B88"/>
    <w:rsid w:val="00604FAA"/>
    <w:rsid w:val="00605293"/>
    <w:rsid w:val="00606419"/>
    <w:rsid w:val="00607D29"/>
    <w:rsid w:val="006111F0"/>
    <w:rsid w:val="00612428"/>
    <w:rsid w:val="00612952"/>
    <w:rsid w:val="00614CC1"/>
    <w:rsid w:val="0061539E"/>
    <w:rsid w:val="00615A9D"/>
    <w:rsid w:val="00617387"/>
    <w:rsid w:val="006205D6"/>
    <w:rsid w:val="006210C4"/>
    <w:rsid w:val="00621C83"/>
    <w:rsid w:val="0062204B"/>
    <w:rsid w:val="00622B8D"/>
    <w:rsid w:val="00622C79"/>
    <w:rsid w:val="006235B9"/>
    <w:rsid w:val="006249EA"/>
    <w:rsid w:val="00624D04"/>
    <w:rsid w:val="006252D8"/>
    <w:rsid w:val="0062530A"/>
    <w:rsid w:val="006259BC"/>
    <w:rsid w:val="0062636B"/>
    <w:rsid w:val="006278E0"/>
    <w:rsid w:val="0063016F"/>
    <w:rsid w:val="00632182"/>
    <w:rsid w:val="006323B1"/>
    <w:rsid w:val="00632AE0"/>
    <w:rsid w:val="00633C17"/>
    <w:rsid w:val="00634D9E"/>
    <w:rsid w:val="00635C5B"/>
    <w:rsid w:val="00636188"/>
    <w:rsid w:val="00636E3E"/>
    <w:rsid w:val="006379F7"/>
    <w:rsid w:val="00637E4D"/>
    <w:rsid w:val="00640620"/>
    <w:rsid w:val="00641528"/>
    <w:rsid w:val="00641A1F"/>
    <w:rsid w:val="00641AC0"/>
    <w:rsid w:val="006424C5"/>
    <w:rsid w:val="00643A22"/>
    <w:rsid w:val="0064554B"/>
    <w:rsid w:val="00645904"/>
    <w:rsid w:val="00645DBF"/>
    <w:rsid w:val="00646602"/>
    <w:rsid w:val="00646C10"/>
    <w:rsid w:val="00650572"/>
    <w:rsid w:val="00651ACB"/>
    <w:rsid w:val="00651C47"/>
    <w:rsid w:val="00652AB2"/>
    <w:rsid w:val="00653FED"/>
    <w:rsid w:val="00654ABB"/>
    <w:rsid w:val="00654EC0"/>
    <w:rsid w:val="0065525B"/>
    <w:rsid w:val="00655D4F"/>
    <w:rsid w:val="006560D9"/>
    <w:rsid w:val="00656BFD"/>
    <w:rsid w:val="00656C6C"/>
    <w:rsid w:val="00656D29"/>
    <w:rsid w:val="00656FF1"/>
    <w:rsid w:val="0066074F"/>
    <w:rsid w:val="00660B2A"/>
    <w:rsid w:val="006640E5"/>
    <w:rsid w:val="006644CD"/>
    <w:rsid w:val="006646F1"/>
    <w:rsid w:val="00664929"/>
    <w:rsid w:val="00664F62"/>
    <w:rsid w:val="006653FE"/>
    <w:rsid w:val="006655E1"/>
    <w:rsid w:val="00665D81"/>
    <w:rsid w:val="00667099"/>
    <w:rsid w:val="00670E01"/>
    <w:rsid w:val="00672060"/>
    <w:rsid w:val="00672BFD"/>
    <w:rsid w:val="00673322"/>
    <w:rsid w:val="00675645"/>
    <w:rsid w:val="006770F4"/>
    <w:rsid w:val="00677A84"/>
    <w:rsid w:val="0068026D"/>
    <w:rsid w:val="0068081E"/>
    <w:rsid w:val="00680A27"/>
    <w:rsid w:val="00680AC3"/>
    <w:rsid w:val="006816A4"/>
    <w:rsid w:val="006819B8"/>
    <w:rsid w:val="006839AB"/>
    <w:rsid w:val="006840A6"/>
    <w:rsid w:val="006850CD"/>
    <w:rsid w:val="00685AAB"/>
    <w:rsid w:val="00686D45"/>
    <w:rsid w:val="00690137"/>
    <w:rsid w:val="006905EE"/>
    <w:rsid w:val="00690CD8"/>
    <w:rsid w:val="00693480"/>
    <w:rsid w:val="00693ABC"/>
    <w:rsid w:val="00694761"/>
    <w:rsid w:val="00694E8B"/>
    <w:rsid w:val="0069593F"/>
    <w:rsid w:val="00695D22"/>
    <w:rsid w:val="0069606E"/>
    <w:rsid w:val="006A00B7"/>
    <w:rsid w:val="006A07AA"/>
    <w:rsid w:val="006A10F6"/>
    <w:rsid w:val="006A25E5"/>
    <w:rsid w:val="006A2B46"/>
    <w:rsid w:val="006A31D6"/>
    <w:rsid w:val="006A336D"/>
    <w:rsid w:val="006A37B9"/>
    <w:rsid w:val="006A509D"/>
    <w:rsid w:val="006A6ECF"/>
    <w:rsid w:val="006B2672"/>
    <w:rsid w:val="006B3081"/>
    <w:rsid w:val="006B52AA"/>
    <w:rsid w:val="006B54BF"/>
    <w:rsid w:val="006B5F44"/>
    <w:rsid w:val="006B5F90"/>
    <w:rsid w:val="006B62E4"/>
    <w:rsid w:val="006B6677"/>
    <w:rsid w:val="006B7967"/>
    <w:rsid w:val="006C0308"/>
    <w:rsid w:val="006C1BBA"/>
    <w:rsid w:val="006C1D30"/>
    <w:rsid w:val="006C2079"/>
    <w:rsid w:val="006C2881"/>
    <w:rsid w:val="006C4BF0"/>
    <w:rsid w:val="006C5A62"/>
    <w:rsid w:val="006C5D68"/>
    <w:rsid w:val="006C5E0B"/>
    <w:rsid w:val="006C6976"/>
    <w:rsid w:val="006C6DD0"/>
    <w:rsid w:val="006D04EA"/>
    <w:rsid w:val="006D0AB7"/>
    <w:rsid w:val="006D16C4"/>
    <w:rsid w:val="006D3387"/>
    <w:rsid w:val="006D3B60"/>
    <w:rsid w:val="006D3E96"/>
    <w:rsid w:val="006D4515"/>
    <w:rsid w:val="006D460F"/>
    <w:rsid w:val="006D4BB1"/>
    <w:rsid w:val="006D4CA2"/>
    <w:rsid w:val="006D6593"/>
    <w:rsid w:val="006D73BA"/>
    <w:rsid w:val="006D7A5D"/>
    <w:rsid w:val="006D7BC3"/>
    <w:rsid w:val="006E0308"/>
    <w:rsid w:val="006E031C"/>
    <w:rsid w:val="006E10CB"/>
    <w:rsid w:val="006E23EA"/>
    <w:rsid w:val="006E2D15"/>
    <w:rsid w:val="006E2F6A"/>
    <w:rsid w:val="006E3239"/>
    <w:rsid w:val="006E3C53"/>
    <w:rsid w:val="006E48E6"/>
    <w:rsid w:val="006E491F"/>
    <w:rsid w:val="006E4A0D"/>
    <w:rsid w:val="006E606E"/>
    <w:rsid w:val="006E7762"/>
    <w:rsid w:val="006E7860"/>
    <w:rsid w:val="006E7DF3"/>
    <w:rsid w:val="006F03A8"/>
    <w:rsid w:val="006F138B"/>
    <w:rsid w:val="006F212B"/>
    <w:rsid w:val="006F23F9"/>
    <w:rsid w:val="006F2ACA"/>
    <w:rsid w:val="006F2ADC"/>
    <w:rsid w:val="006F2BFE"/>
    <w:rsid w:val="006F31E9"/>
    <w:rsid w:val="006F3241"/>
    <w:rsid w:val="006F3D64"/>
    <w:rsid w:val="006F6284"/>
    <w:rsid w:val="006F6888"/>
    <w:rsid w:val="006F69C1"/>
    <w:rsid w:val="007002C5"/>
    <w:rsid w:val="00700AB4"/>
    <w:rsid w:val="007021AB"/>
    <w:rsid w:val="0070223A"/>
    <w:rsid w:val="00702B20"/>
    <w:rsid w:val="00704387"/>
    <w:rsid w:val="00704CFE"/>
    <w:rsid w:val="00704E75"/>
    <w:rsid w:val="00705670"/>
    <w:rsid w:val="00706C7A"/>
    <w:rsid w:val="00707669"/>
    <w:rsid w:val="00707922"/>
    <w:rsid w:val="0071005F"/>
    <w:rsid w:val="0071021F"/>
    <w:rsid w:val="007109F7"/>
    <w:rsid w:val="00711331"/>
    <w:rsid w:val="00711CBA"/>
    <w:rsid w:val="00711D31"/>
    <w:rsid w:val="00711FB5"/>
    <w:rsid w:val="00712087"/>
    <w:rsid w:val="00712514"/>
    <w:rsid w:val="00712A01"/>
    <w:rsid w:val="00714F58"/>
    <w:rsid w:val="00714FFA"/>
    <w:rsid w:val="0072029F"/>
    <w:rsid w:val="00721638"/>
    <w:rsid w:val="00721982"/>
    <w:rsid w:val="00721D03"/>
    <w:rsid w:val="007221E3"/>
    <w:rsid w:val="0072227D"/>
    <w:rsid w:val="007225A1"/>
    <w:rsid w:val="00722FBF"/>
    <w:rsid w:val="00722FC2"/>
    <w:rsid w:val="00724879"/>
    <w:rsid w:val="00724E1B"/>
    <w:rsid w:val="00724F05"/>
    <w:rsid w:val="00725949"/>
    <w:rsid w:val="00727734"/>
    <w:rsid w:val="00727A48"/>
    <w:rsid w:val="00727FA2"/>
    <w:rsid w:val="00731F6C"/>
    <w:rsid w:val="007322D9"/>
    <w:rsid w:val="00732BC0"/>
    <w:rsid w:val="00735030"/>
    <w:rsid w:val="00736BA1"/>
    <w:rsid w:val="0073720F"/>
    <w:rsid w:val="00737796"/>
    <w:rsid w:val="0074165C"/>
    <w:rsid w:val="00742AA0"/>
    <w:rsid w:val="00742C35"/>
    <w:rsid w:val="007432CA"/>
    <w:rsid w:val="007439EB"/>
    <w:rsid w:val="00743CB4"/>
    <w:rsid w:val="00743F0A"/>
    <w:rsid w:val="007444E8"/>
    <w:rsid w:val="0074548E"/>
    <w:rsid w:val="00745773"/>
    <w:rsid w:val="00746800"/>
    <w:rsid w:val="00747952"/>
    <w:rsid w:val="007479AC"/>
    <w:rsid w:val="00747CED"/>
    <w:rsid w:val="007501A8"/>
    <w:rsid w:val="00750D61"/>
    <w:rsid w:val="00750EE1"/>
    <w:rsid w:val="00750FCF"/>
    <w:rsid w:val="00751B4D"/>
    <w:rsid w:val="00752B4D"/>
    <w:rsid w:val="007540F2"/>
    <w:rsid w:val="0075481D"/>
    <w:rsid w:val="00755402"/>
    <w:rsid w:val="00755B82"/>
    <w:rsid w:val="007561B5"/>
    <w:rsid w:val="00756B26"/>
    <w:rsid w:val="00756EDF"/>
    <w:rsid w:val="00757541"/>
    <w:rsid w:val="007600E3"/>
    <w:rsid w:val="007603AE"/>
    <w:rsid w:val="0076066B"/>
    <w:rsid w:val="00760AD5"/>
    <w:rsid w:val="00761BF8"/>
    <w:rsid w:val="00765C43"/>
    <w:rsid w:val="00765C99"/>
    <w:rsid w:val="00765EFB"/>
    <w:rsid w:val="0076635C"/>
    <w:rsid w:val="007668A3"/>
    <w:rsid w:val="007671CA"/>
    <w:rsid w:val="00767C61"/>
    <w:rsid w:val="00767E0E"/>
    <w:rsid w:val="0077008A"/>
    <w:rsid w:val="007706C8"/>
    <w:rsid w:val="00772044"/>
    <w:rsid w:val="00773C1F"/>
    <w:rsid w:val="00773EAF"/>
    <w:rsid w:val="00774DA4"/>
    <w:rsid w:val="00775407"/>
    <w:rsid w:val="00775514"/>
    <w:rsid w:val="00776599"/>
    <w:rsid w:val="00777920"/>
    <w:rsid w:val="007804EE"/>
    <w:rsid w:val="0078114B"/>
    <w:rsid w:val="00781DD2"/>
    <w:rsid w:val="0078272A"/>
    <w:rsid w:val="00782B25"/>
    <w:rsid w:val="00783ECF"/>
    <w:rsid w:val="0078413A"/>
    <w:rsid w:val="00786995"/>
    <w:rsid w:val="007909B7"/>
    <w:rsid w:val="00790FFC"/>
    <w:rsid w:val="00792338"/>
    <w:rsid w:val="00792764"/>
    <w:rsid w:val="00792867"/>
    <w:rsid w:val="00794CE2"/>
    <w:rsid w:val="007955A9"/>
    <w:rsid w:val="007959E8"/>
    <w:rsid w:val="00795E9C"/>
    <w:rsid w:val="00797865"/>
    <w:rsid w:val="007A0521"/>
    <w:rsid w:val="007A0C98"/>
    <w:rsid w:val="007A2291"/>
    <w:rsid w:val="007A2566"/>
    <w:rsid w:val="007A2E12"/>
    <w:rsid w:val="007A3475"/>
    <w:rsid w:val="007A41C8"/>
    <w:rsid w:val="007A4366"/>
    <w:rsid w:val="007A4A50"/>
    <w:rsid w:val="007A54CE"/>
    <w:rsid w:val="007A6FD9"/>
    <w:rsid w:val="007A71A6"/>
    <w:rsid w:val="007A7FFA"/>
    <w:rsid w:val="007B04EB"/>
    <w:rsid w:val="007B0D4F"/>
    <w:rsid w:val="007B10FE"/>
    <w:rsid w:val="007B3753"/>
    <w:rsid w:val="007B5702"/>
    <w:rsid w:val="007B5A3D"/>
    <w:rsid w:val="007B5B95"/>
    <w:rsid w:val="007B68EA"/>
    <w:rsid w:val="007B6EC3"/>
    <w:rsid w:val="007B7453"/>
    <w:rsid w:val="007C0F0E"/>
    <w:rsid w:val="007C1E8B"/>
    <w:rsid w:val="007C2D89"/>
    <w:rsid w:val="007C4593"/>
    <w:rsid w:val="007C4FBE"/>
    <w:rsid w:val="007C5309"/>
    <w:rsid w:val="007C5886"/>
    <w:rsid w:val="007C6069"/>
    <w:rsid w:val="007D06C4"/>
    <w:rsid w:val="007D0AFE"/>
    <w:rsid w:val="007D1352"/>
    <w:rsid w:val="007D1868"/>
    <w:rsid w:val="007D2508"/>
    <w:rsid w:val="007D285E"/>
    <w:rsid w:val="007D30B8"/>
    <w:rsid w:val="007D346A"/>
    <w:rsid w:val="007D34AA"/>
    <w:rsid w:val="007D6518"/>
    <w:rsid w:val="007D6BA0"/>
    <w:rsid w:val="007D6D4D"/>
    <w:rsid w:val="007D6F9F"/>
    <w:rsid w:val="007D76BD"/>
    <w:rsid w:val="007E0BF1"/>
    <w:rsid w:val="007E26FC"/>
    <w:rsid w:val="007E4609"/>
    <w:rsid w:val="007E4CE6"/>
    <w:rsid w:val="007E5254"/>
    <w:rsid w:val="007E6E41"/>
    <w:rsid w:val="007E6E85"/>
    <w:rsid w:val="007F06F5"/>
    <w:rsid w:val="007F0ED8"/>
    <w:rsid w:val="007F0EFF"/>
    <w:rsid w:val="007F0F63"/>
    <w:rsid w:val="007F24E7"/>
    <w:rsid w:val="007F56F9"/>
    <w:rsid w:val="007F61A4"/>
    <w:rsid w:val="007F6E6C"/>
    <w:rsid w:val="007F75CE"/>
    <w:rsid w:val="008003DA"/>
    <w:rsid w:val="0080139D"/>
    <w:rsid w:val="008013A4"/>
    <w:rsid w:val="008027CE"/>
    <w:rsid w:val="00802F42"/>
    <w:rsid w:val="008037B5"/>
    <w:rsid w:val="00804383"/>
    <w:rsid w:val="00804BB7"/>
    <w:rsid w:val="00804D41"/>
    <w:rsid w:val="00805863"/>
    <w:rsid w:val="008066E9"/>
    <w:rsid w:val="00806C42"/>
    <w:rsid w:val="008076D3"/>
    <w:rsid w:val="00807CA6"/>
    <w:rsid w:val="00810257"/>
    <w:rsid w:val="008104F5"/>
    <w:rsid w:val="00810B1F"/>
    <w:rsid w:val="00811072"/>
    <w:rsid w:val="00811369"/>
    <w:rsid w:val="00811A99"/>
    <w:rsid w:val="008122D8"/>
    <w:rsid w:val="00815419"/>
    <w:rsid w:val="00815FD9"/>
    <w:rsid w:val="008163C8"/>
    <w:rsid w:val="008164A1"/>
    <w:rsid w:val="00816774"/>
    <w:rsid w:val="00817325"/>
    <w:rsid w:val="00817867"/>
    <w:rsid w:val="008209E6"/>
    <w:rsid w:val="00821940"/>
    <w:rsid w:val="00821C61"/>
    <w:rsid w:val="00822EEA"/>
    <w:rsid w:val="00822FD1"/>
    <w:rsid w:val="00823303"/>
    <w:rsid w:val="008233B2"/>
    <w:rsid w:val="008239AD"/>
    <w:rsid w:val="00823A9F"/>
    <w:rsid w:val="00823C85"/>
    <w:rsid w:val="008241F8"/>
    <w:rsid w:val="00825138"/>
    <w:rsid w:val="00826677"/>
    <w:rsid w:val="008269DD"/>
    <w:rsid w:val="00827803"/>
    <w:rsid w:val="008300EC"/>
    <w:rsid w:val="00830290"/>
    <w:rsid w:val="00830621"/>
    <w:rsid w:val="008315EA"/>
    <w:rsid w:val="008319AD"/>
    <w:rsid w:val="00832BC9"/>
    <w:rsid w:val="0083348C"/>
    <w:rsid w:val="00834367"/>
    <w:rsid w:val="00834FF0"/>
    <w:rsid w:val="00835374"/>
    <w:rsid w:val="00835658"/>
    <w:rsid w:val="008373D3"/>
    <w:rsid w:val="00840014"/>
    <w:rsid w:val="00840617"/>
    <w:rsid w:val="00840F84"/>
    <w:rsid w:val="00842A47"/>
    <w:rsid w:val="00842A93"/>
    <w:rsid w:val="00843C13"/>
    <w:rsid w:val="00844AB1"/>
    <w:rsid w:val="008454F8"/>
    <w:rsid w:val="00845E98"/>
    <w:rsid w:val="0085124E"/>
    <w:rsid w:val="0085173A"/>
    <w:rsid w:val="00851940"/>
    <w:rsid w:val="00851C1B"/>
    <w:rsid w:val="00852C24"/>
    <w:rsid w:val="008536ED"/>
    <w:rsid w:val="0085376A"/>
    <w:rsid w:val="008546F9"/>
    <w:rsid w:val="008548CB"/>
    <w:rsid w:val="00856316"/>
    <w:rsid w:val="00856DF7"/>
    <w:rsid w:val="00856ECF"/>
    <w:rsid w:val="0085762F"/>
    <w:rsid w:val="00857F92"/>
    <w:rsid w:val="00860374"/>
    <w:rsid w:val="008603CE"/>
    <w:rsid w:val="0086093A"/>
    <w:rsid w:val="0086167C"/>
    <w:rsid w:val="00861F32"/>
    <w:rsid w:val="008620FC"/>
    <w:rsid w:val="00862438"/>
    <w:rsid w:val="008627A2"/>
    <w:rsid w:val="008627A5"/>
    <w:rsid w:val="00863E05"/>
    <w:rsid w:val="00865ACA"/>
    <w:rsid w:val="00865D28"/>
    <w:rsid w:val="00865F85"/>
    <w:rsid w:val="00867C10"/>
    <w:rsid w:val="00870439"/>
    <w:rsid w:val="00870DA1"/>
    <w:rsid w:val="0087218E"/>
    <w:rsid w:val="008726DC"/>
    <w:rsid w:val="00872AD2"/>
    <w:rsid w:val="00872CD8"/>
    <w:rsid w:val="00872CDC"/>
    <w:rsid w:val="008740DB"/>
    <w:rsid w:val="00874652"/>
    <w:rsid w:val="008755DA"/>
    <w:rsid w:val="008768C5"/>
    <w:rsid w:val="00877A36"/>
    <w:rsid w:val="00877B92"/>
    <w:rsid w:val="00881851"/>
    <w:rsid w:val="0088197C"/>
    <w:rsid w:val="008835F8"/>
    <w:rsid w:val="00883F93"/>
    <w:rsid w:val="008845E6"/>
    <w:rsid w:val="00884DB3"/>
    <w:rsid w:val="00885A9D"/>
    <w:rsid w:val="008864F6"/>
    <w:rsid w:val="00886D3B"/>
    <w:rsid w:val="00890064"/>
    <w:rsid w:val="0089049D"/>
    <w:rsid w:val="008916FE"/>
    <w:rsid w:val="00892011"/>
    <w:rsid w:val="008928C9"/>
    <w:rsid w:val="008930CB"/>
    <w:rsid w:val="008934BF"/>
    <w:rsid w:val="008935BD"/>
    <w:rsid w:val="008938DC"/>
    <w:rsid w:val="00893FD1"/>
    <w:rsid w:val="00894836"/>
    <w:rsid w:val="00894B41"/>
    <w:rsid w:val="00895172"/>
    <w:rsid w:val="00895680"/>
    <w:rsid w:val="00895AED"/>
    <w:rsid w:val="00896DFF"/>
    <w:rsid w:val="0089762C"/>
    <w:rsid w:val="008A067D"/>
    <w:rsid w:val="008A1893"/>
    <w:rsid w:val="008A28FE"/>
    <w:rsid w:val="008A3215"/>
    <w:rsid w:val="008A370B"/>
    <w:rsid w:val="008A3E2B"/>
    <w:rsid w:val="008A3F8B"/>
    <w:rsid w:val="008A57E6"/>
    <w:rsid w:val="008A656E"/>
    <w:rsid w:val="008A6F81"/>
    <w:rsid w:val="008A769A"/>
    <w:rsid w:val="008B07EA"/>
    <w:rsid w:val="008B0C9C"/>
    <w:rsid w:val="008B166D"/>
    <w:rsid w:val="008B17F4"/>
    <w:rsid w:val="008B1DFB"/>
    <w:rsid w:val="008B1EE7"/>
    <w:rsid w:val="008B2B8A"/>
    <w:rsid w:val="008B2FA7"/>
    <w:rsid w:val="008B3615"/>
    <w:rsid w:val="008B4AC4"/>
    <w:rsid w:val="008B4BCB"/>
    <w:rsid w:val="008B50C8"/>
    <w:rsid w:val="008B5281"/>
    <w:rsid w:val="008B5AEE"/>
    <w:rsid w:val="008B65C3"/>
    <w:rsid w:val="008B7991"/>
    <w:rsid w:val="008B7E05"/>
    <w:rsid w:val="008C1797"/>
    <w:rsid w:val="008C19FC"/>
    <w:rsid w:val="008C219C"/>
    <w:rsid w:val="008C31FA"/>
    <w:rsid w:val="008C33CC"/>
    <w:rsid w:val="008C475E"/>
    <w:rsid w:val="008C5DDD"/>
    <w:rsid w:val="008C619A"/>
    <w:rsid w:val="008C65DF"/>
    <w:rsid w:val="008C7C37"/>
    <w:rsid w:val="008C7DEF"/>
    <w:rsid w:val="008D0655"/>
    <w:rsid w:val="008D0CE8"/>
    <w:rsid w:val="008D19F6"/>
    <w:rsid w:val="008D2D1D"/>
    <w:rsid w:val="008D453D"/>
    <w:rsid w:val="008D453E"/>
    <w:rsid w:val="008D454C"/>
    <w:rsid w:val="008D53AD"/>
    <w:rsid w:val="008D562B"/>
    <w:rsid w:val="008D5733"/>
    <w:rsid w:val="008D622B"/>
    <w:rsid w:val="008D644F"/>
    <w:rsid w:val="008D666C"/>
    <w:rsid w:val="008D77DC"/>
    <w:rsid w:val="008D7B54"/>
    <w:rsid w:val="008E09F7"/>
    <w:rsid w:val="008E0C9D"/>
    <w:rsid w:val="008E1064"/>
    <w:rsid w:val="008E14F5"/>
    <w:rsid w:val="008E1648"/>
    <w:rsid w:val="008E1B3E"/>
    <w:rsid w:val="008E2319"/>
    <w:rsid w:val="008E25B7"/>
    <w:rsid w:val="008E4BB6"/>
    <w:rsid w:val="008E5518"/>
    <w:rsid w:val="008E5BEB"/>
    <w:rsid w:val="008E641A"/>
    <w:rsid w:val="008E667E"/>
    <w:rsid w:val="008E6A84"/>
    <w:rsid w:val="008E7FAC"/>
    <w:rsid w:val="008F07CA"/>
    <w:rsid w:val="008F0CDC"/>
    <w:rsid w:val="008F1459"/>
    <w:rsid w:val="008F17A3"/>
    <w:rsid w:val="008F1ED3"/>
    <w:rsid w:val="008F23A5"/>
    <w:rsid w:val="008F2E85"/>
    <w:rsid w:val="008F30A3"/>
    <w:rsid w:val="008F3D97"/>
    <w:rsid w:val="008F4C29"/>
    <w:rsid w:val="008F6BD0"/>
    <w:rsid w:val="008F6F0F"/>
    <w:rsid w:val="008F70BD"/>
    <w:rsid w:val="008F788F"/>
    <w:rsid w:val="008F7EA2"/>
    <w:rsid w:val="009006A2"/>
    <w:rsid w:val="00900AE9"/>
    <w:rsid w:val="00902653"/>
    <w:rsid w:val="00902722"/>
    <w:rsid w:val="009027BC"/>
    <w:rsid w:val="00903484"/>
    <w:rsid w:val="009050F5"/>
    <w:rsid w:val="00905B40"/>
    <w:rsid w:val="009062E6"/>
    <w:rsid w:val="009068BD"/>
    <w:rsid w:val="00906B6F"/>
    <w:rsid w:val="00907098"/>
    <w:rsid w:val="00907A5A"/>
    <w:rsid w:val="00911BE5"/>
    <w:rsid w:val="00913CA9"/>
    <w:rsid w:val="009145AE"/>
    <w:rsid w:val="009146CE"/>
    <w:rsid w:val="00914CA7"/>
    <w:rsid w:val="00915C3E"/>
    <w:rsid w:val="009161A8"/>
    <w:rsid w:val="00916A35"/>
    <w:rsid w:val="009176EC"/>
    <w:rsid w:val="00920757"/>
    <w:rsid w:val="009233A6"/>
    <w:rsid w:val="009245F5"/>
    <w:rsid w:val="009249EC"/>
    <w:rsid w:val="009263AB"/>
    <w:rsid w:val="009273B3"/>
    <w:rsid w:val="009305B5"/>
    <w:rsid w:val="00931C6D"/>
    <w:rsid w:val="009329F0"/>
    <w:rsid w:val="009366D4"/>
    <w:rsid w:val="00937557"/>
    <w:rsid w:val="0093770D"/>
    <w:rsid w:val="00937BCD"/>
    <w:rsid w:val="009403AB"/>
    <w:rsid w:val="00942793"/>
    <w:rsid w:val="009429D5"/>
    <w:rsid w:val="00942BF1"/>
    <w:rsid w:val="00944E2C"/>
    <w:rsid w:val="00944E69"/>
    <w:rsid w:val="00945180"/>
    <w:rsid w:val="00945428"/>
    <w:rsid w:val="009458A5"/>
    <w:rsid w:val="0094607B"/>
    <w:rsid w:val="00946091"/>
    <w:rsid w:val="00946400"/>
    <w:rsid w:val="0095254A"/>
    <w:rsid w:val="00953604"/>
    <w:rsid w:val="00954202"/>
    <w:rsid w:val="0095496B"/>
    <w:rsid w:val="00955D3B"/>
    <w:rsid w:val="00957924"/>
    <w:rsid w:val="00960625"/>
    <w:rsid w:val="00960A26"/>
    <w:rsid w:val="009610DC"/>
    <w:rsid w:val="00961319"/>
    <w:rsid w:val="00961490"/>
    <w:rsid w:val="009627DC"/>
    <w:rsid w:val="0096381A"/>
    <w:rsid w:val="00965E04"/>
    <w:rsid w:val="009674AD"/>
    <w:rsid w:val="00967EE7"/>
    <w:rsid w:val="00970CDC"/>
    <w:rsid w:val="0097191E"/>
    <w:rsid w:val="00972330"/>
    <w:rsid w:val="00972584"/>
    <w:rsid w:val="00972800"/>
    <w:rsid w:val="00972985"/>
    <w:rsid w:val="009745EC"/>
    <w:rsid w:val="00974E17"/>
    <w:rsid w:val="0097532E"/>
    <w:rsid w:val="009757B1"/>
    <w:rsid w:val="00975AB6"/>
    <w:rsid w:val="00976214"/>
    <w:rsid w:val="00977010"/>
    <w:rsid w:val="00977D02"/>
    <w:rsid w:val="009809BB"/>
    <w:rsid w:val="00981A06"/>
    <w:rsid w:val="00981D17"/>
    <w:rsid w:val="0098364B"/>
    <w:rsid w:val="0098388D"/>
    <w:rsid w:val="00986FA0"/>
    <w:rsid w:val="0098739F"/>
    <w:rsid w:val="0099049B"/>
    <w:rsid w:val="009911AF"/>
    <w:rsid w:val="009915A5"/>
    <w:rsid w:val="00991875"/>
    <w:rsid w:val="00991F92"/>
    <w:rsid w:val="00992809"/>
    <w:rsid w:val="00992985"/>
    <w:rsid w:val="00993889"/>
    <w:rsid w:val="00993C8E"/>
    <w:rsid w:val="0099551B"/>
    <w:rsid w:val="00995660"/>
    <w:rsid w:val="00995E18"/>
    <w:rsid w:val="00996E33"/>
    <w:rsid w:val="009975CC"/>
    <w:rsid w:val="00997920"/>
    <w:rsid w:val="00997BF1"/>
    <w:rsid w:val="00997F82"/>
    <w:rsid w:val="009A089C"/>
    <w:rsid w:val="009A118E"/>
    <w:rsid w:val="009A21CD"/>
    <w:rsid w:val="009A278C"/>
    <w:rsid w:val="009A2BC2"/>
    <w:rsid w:val="009A36EF"/>
    <w:rsid w:val="009A37E7"/>
    <w:rsid w:val="009A3E0C"/>
    <w:rsid w:val="009A42C1"/>
    <w:rsid w:val="009A5429"/>
    <w:rsid w:val="009A5EE4"/>
    <w:rsid w:val="009A6F8A"/>
    <w:rsid w:val="009A72AD"/>
    <w:rsid w:val="009B03C7"/>
    <w:rsid w:val="009B09E0"/>
    <w:rsid w:val="009B0A74"/>
    <w:rsid w:val="009B0BC5"/>
    <w:rsid w:val="009B1247"/>
    <w:rsid w:val="009B2749"/>
    <w:rsid w:val="009B2D7C"/>
    <w:rsid w:val="009B2E72"/>
    <w:rsid w:val="009B46F9"/>
    <w:rsid w:val="009B4809"/>
    <w:rsid w:val="009B4862"/>
    <w:rsid w:val="009B4AC5"/>
    <w:rsid w:val="009B6029"/>
    <w:rsid w:val="009B6971"/>
    <w:rsid w:val="009C0508"/>
    <w:rsid w:val="009C0AB8"/>
    <w:rsid w:val="009C27F1"/>
    <w:rsid w:val="009C2889"/>
    <w:rsid w:val="009C3152"/>
    <w:rsid w:val="009C4074"/>
    <w:rsid w:val="009C4CFA"/>
    <w:rsid w:val="009C5070"/>
    <w:rsid w:val="009C6836"/>
    <w:rsid w:val="009C71F8"/>
    <w:rsid w:val="009C757E"/>
    <w:rsid w:val="009D01E7"/>
    <w:rsid w:val="009D112C"/>
    <w:rsid w:val="009D1D77"/>
    <w:rsid w:val="009D27D2"/>
    <w:rsid w:val="009D27FB"/>
    <w:rsid w:val="009D2827"/>
    <w:rsid w:val="009D2A55"/>
    <w:rsid w:val="009D39EA"/>
    <w:rsid w:val="009D47FA"/>
    <w:rsid w:val="009D4C5B"/>
    <w:rsid w:val="009D50D2"/>
    <w:rsid w:val="009D5B79"/>
    <w:rsid w:val="009D6BCA"/>
    <w:rsid w:val="009D726F"/>
    <w:rsid w:val="009D792F"/>
    <w:rsid w:val="009E0F62"/>
    <w:rsid w:val="009E2C26"/>
    <w:rsid w:val="009E4A58"/>
    <w:rsid w:val="009E5A2D"/>
    <w:rsid w:val="009E5AB2"/>
    <w:rsid w:val="009E5C7A"/>
    <w:rsid w:val="009E6219"/>
    <w:rsid w:val="009E7A79"/>
    <w:rsid w:val="009F03B3"/>
    <w:rsid w:val="009F2A31"/>
    <w:rsid w:val="009F2C47"/>
    <w:rsid w:val="009F500B"/>
    <w:rsid w:val="009F57A5"/>
    <w:rsid w:val="009F7E24"/>
    <w:rsid w:val="009F7E94"/>
    <w:rsid w:val="009F7F09"/>
    <w:rsid w:val="00A00963"/>
    <w:rsid w:val="00A0096C"/>
    <w:rsid w:val="00A01757"/>
    <w:rsid w:val="00A028C0"/>
    <w:rsid w:val="00A02BAE"/>
    <w:rsid w:val="00A042BD"/>
    <w:rsid w:val="00A05081"/>
    <w:rsid w:val="00A065D2"/>
    <w:rsid w:val="00A06A6B"/>
    <w:rsid w:val="00A07843"/>
    <w:rsid w:val="00A07E47"/>
    <w:rsid w:val="00A101BD"/>
    <w:rsid w:val="00A10E5A"/>
    <w:rsid w:val="00A11E38"/>
    <w:rsid w:val="00A129D0"/>
    <w:rsid w:val="00A12A11"/>
    <w:rsid w:val="00A12B19"/>
    <w:rsid w:val="00A12C33"/>
    <w:rsid w:val="00A131A9"/>
    <w:rsid w:val="00A138BA"/>
    <w:rsid w:val="00A14C8E"/>
    <w:rsid w:val="00A153D9"/>
    <w:rsid w:val="00A15750"/>
    <w:rsid w:val="00A158B4"/>
    <w:rsid w:val="00A15F09"/>
    <w:rsid w:val="00A169B6"/>
    <w:rsid w:val="00A16D9F"/>
    <w:rsid w:val="00A17C60"/>
    <w:rsid w:val="00A203EE"/>
    <w:rsid w:val="00A20400"/>
    <w:rsid w:val="00A20DBB"/>
    <w:rsid w:val="00A214E0"/>
    <w:rsid w:val="00A21CC1"/>
    <w:rsid w:val="00A2264A"/>
    <w:rsid w:val="00A2271D"/>
    <w:rsid w:val="00A237D5"/>
    <w:rsid w:val="00A24872"/>
    <w:rsid w:val="00A26197"/>
    <w:rsid w:val="00A273D2"/>
    <w:rsid w:val="00A300B9"/>
    <w:rsid w:val="00A30EFC"/>
    <w:rsid w:val="00A31984"/>
    <w:rsid w:val="00A32D73"/>
    <w:rsid w:val="00A3367B"/>
    <w:rsid w:val="00A347DE"/>
    <w:rsid w:val="00A34BED"/>
    <w:rsid w:val="00A3597D"/>
    <w:rsid w:val="00A36DD1"/>
    <w:rsid w:val="00A373E8"/>
    <w:rsid w:val="00A3755F"/>
    <w:rsid w:val="00A4006C"/>
    <w:rsid w:val="00A40091"/>
    <w:rsid w:val="00A4030F"/>
    <w:rsid w:val="00A41C79"/>
    <w:rsid w:val="00A41CB5"/>
    <w:rsid w:val="00A41E66"/>
    <w:rsid w:val="00A42A68"/>
    <w:rsid w:val="00A42CDF"/>
    <w:rsid w:val="00A4452E"/>
    <w:rsid w:val="00A4472C"/>
    <w:rsid w:val="00A44E69"/>
    <w:rsid w:val="00A455E4"/>
    <w:rsid w:val="00A4661E"/>
    <w:rsid w:val="00A4691E"/>
    <w:rsid w:val="00A46929"/>
    <w:rsid w:val="00A477F9"/>
    <w:rsid w:val="00A47D00"/>
    <w:rsid w:val="00A50E95"/>
    <w:rsid w:val="00A520EF"/>
    <w:rsid w:val="00A522D9"/>
    <w:rsid w:val="00A53A40"/>
    <w:rsid w:val="00A55BD6"/>
    <w:rsid w:val="00A55D50"/>
    <w:rsid w:val="00A5661D"/>
    <w:rsid w:val="00A57142"/>
    <w:rsid w:val="00A60BBA"/>
    <w:rsid w:val="00A61A7E"/>
    <w:rsid w:val="00A6248A"/>
    <w:rsid w:val="00A62A01"/>
    <w:rsid w:val="00A63732"/>
    <w:rsid w:val="00A648CD"/>
    <w:rsid w:val="00A6514F"/>
    <w:rsid w:val="00A6537A"/>
    <w:rsid w:val="00A65612"/>
    <w:rsid w:val="00A67625"/>
    <w:rsid w:val="00A67866"/>
    <w:rsid w:val="00A67E4B"/>
    <w:rsid w:val="00A700E9"/>
    <w:rsid w:val="00A7020D"/>
    <w:rsid w:val="00A70300"/>
    <w:rsid w:val="00A70B07"/>
    <w:rsid w:val="00A71660"/>
    <w:rsid w:val="00A723F8"/>
    <w:rsid w:val="00A72FA0"/>
    <w:rsid w:val="00A73938"/>
    <w:rsid w:val="00A74493"/>
    <w:rsid w:val="00A74598"/>
    <w:rsid w:val="00A7560A"/>
    <w:rsid w:val="00A75EA0"/>
    <w:rsid w:val="00A77301"/>
    <w:rsid w:val="00A77CCB"/>
    <w:rsid w:val="00A803EE"/>
    <w:rsid w:val="00A81EE8"/>
    <w:rsid w:val="00A82154"/>
    <w:rsid w:val="00A823A0"/>
    <w:rsid w:val="00A83CB8"/>
    <w:rsid w:val="00A83D8D"/>
    <w:rsid w:val="00A8446B"/>
    <w:rsid w:val="00A8473F"/>
    <w:rsid w:val="00A85B88"/>
    <w:rsid w:val="00A86122"/>
    <w:rsid w:val="00A862D6"/>
    <w:rsid w:val="00A8715E"/>
    <w:rsid w:val="00A92185"/>
    <w:rsid w:val="00A9295B"/>
    <w:rsid w:val="00A93B09"/>
    <w:rsid w:val="00A94247"/>
    <w:rsid w:val="00A9435D"/>
    <w:rsid w:val="00A952D7"/>
    <w:rsid w:val="00A96342"/>
    <w:rsid w:val="00A963F7"/>
    <w:rsid w:val="00A96AD8"/>
    <w:rsid w:val="00AA052C"/>
    <w:rsid w:val="00AA1E45"/>
    <w:rsid w:val="00AA2450"/>
    <w:rsid w:val="00AA2469"/>
    <w:rsid w:val="00AA2FD6"/>
    <w:rsid w:val="00AA3D2B"/>
    <w:rsid w:val="00AA4286"/>
    <w:rsid w:val="00AA456B"/>
    <w:rsid w:val="00AA5403"/>
    <w:rsid w:val="00AA57F5"/>
    <w:rsid w:val="00AA672E"/>
    <w:rsid w:val="00AA6EC9"/>
    <w:rsid w:val="00AA74D8"/>
    <w:rsid w:val="00AB02BD"/>
    <w:rsid w:val="00AB0B82"/>
    <w:rsid w:val="00AB0FE4"/>
    <w:rsid w:val="00AB1B1E"/>
    <w:rsid w:val="00AB41D5"/>
    <w:rsid w:val="00AB4E3E"/>
    <w:rsid w:val="00AB5BCC"/>
    <w:rsid w:val="00AB6309"/>
    <w:rsid w:val="00AB6418"/>
    <w:rsid w:val="00AB6C5F"/>
    <w:rsid w:val="00AB7129"/>
    <w:rsid w:val="00AC07F4"/>
    <w:rsid w:val="00AC1272"/>
    <w:rsid w:val="00AC1403"/>
    <w:rsid w:val="00AC1C7E"/>
    <w:rsid w:val="00AC21CB"/>
    <w:rsid w:val="00AC27A6"/>
    <w:rsid w:val="00AC30F7"/>
    <w:rsid w:val="00AC3A5A"/>
    <w:rsid w:val="00AC3E34"/>
    <w:rsid w:val="00AC45E3"/>
    <w:rsid w:val="00AC4D95"/>
    <w:rsid w:val="00AC58B7"/>
    <w:rsid w:val="00AC5DF4"/>
    <w:rsid w:val="00AC61F1"/>
    <w:rsid w:val="00AD0AEF"/>
    <w:rsid w:val="00AD11B7"/>
    <w:rsid w:val="00AD1249"/>
    <w:rsid w:val="00AD1A94"/>
    <w:rsid w:val="00AD1C05"/>
    <w:rsid w:val="00AD2C3A"/>
    <w:rsid w:val="00AD4126"/>
    <w:rsid w:val="00AD421C"/>
    <w:rsid w:val="00AD44FA"/>
    <w:rsid w:val="00AD5346"/>
    <w:rsid w:val="00AD6272"/>
    <w:rsid w:val="00AE070A"/>
    <w:rsid w:val="00AE101C"/>
    <w:rsid w:val="00AE1169"/>
    <w:rsid w:val="00AE37E5"/>
    <w:rsid w:val="00AE5EB4"/>
    <w:rsid w:val="00AE65CF"/>
    <w:rsid w:val="00AF0C18"/>
    <w:rsid w:val="00AF1BC0"/>
    <w:rsid w:val="00AF27D8"/>
    <w:rsid w:val="00AF3494"/>
    <w:rsid w:val="00AF3E16"/>
    <w:rsid w:val="00AF417C"/>
    <w:rsid w:val="00AF47C5"/>
    <w:rsid w:val="00AF5398"/>
    <w:rsid w:val="00AF60B5"/>
    <w:rsid w:val="00AF782F"/>
    <w:rsid w:val="00B01215"/>
    <w:rsid w:val="00B02CAE"/>
    <w:rsid w:val="00B049AF"/>
    <w:rsid w:val="00B051D6"/>
    <w:rsid w:val="00B05796"/>
    <w:rsid w:val="00B05EA4"/>
    <w:rsid w:val="00B07242"/>
    <w:rsid w:val="00B10112"/>
    <w:rsid w:val="00B10237"/>
    <w:rsid w:val="00B10534"/>
    <w:rsid w:val="00B113DB"/>
    <w:rsid w:val="00B11D8A"/>
    <w:rsid w:val="00B12981"/>
    <w:rsid w:val="00B12B1A"/>
    <w:rsid w:val="00B147DD"/>
    <w:rsid w:val="00B156FD"/>
    <w:rsid w:val="00B17D38"/>
    <w:rsid w:val="00B21F61"/>
    <w:rsid w:val="00B245CB"/>
    <w:rsid w:val="00B261F1"/>
    <w:rsid w:val="00B265BC"/>
    <w:rsid w:val="00B26D13"/>
    <w:rsid w:val="00B30A06"/>
    <w:rsid w:val="00B30A5F"/>
    <w:rsid w:val="00B31FB1"/>
    <w:rsid w:val="00B3313B"/>
    <w:rsid w:val="00B33952"/>
    <w:rsid w:val="00B33C5E"/>
    <w:rsid w:val="00B342F4"/>
    <w:rsid w:val="00B34369"/>
    <w:rsid w:val="00B34DC2"/>
    <w:rsid w:val="00B35712"/>
    <w:rsid w:val="00B36A9C"/>
    <w:rsid w:val="00B378E5"/>
    <w:rsid w:val="00B400EE"/>
    <w:rsid w:val="00B402D2"/>
    <w:rsid w:val="00B40BC9"/>
    <w:rsid w:val="00B4262F"/>
    <w:rsid w:val="00B42E4B"/>
    <w:rsid w:val="00B4346D"/>
    <w:rsid w:val="00B43A0B"/>
    <w:rsid w:val="00B440F4"/>
    <w:rsid w:val="00B447A5"/>
    <w:rsid w:val="00B4654C"/>
    <w:rsid w:val="00B46AF0"/>
    <w:rsid w:val="00B47293"/>
    <w:rsid w:val="00B504BD"/>
    <w:rsid w:val="00B50E50"/>
    <w:rsid w:val="00B51486"/>
    <w:rsid w:val="00B5149C"/>
    <w:rsid w:val="00B52120"/>
    <w:rsid w:val="00B54ABC"/>
    <w:rsid w:val="00B54DDE"/>
    <w:rsid w:val="00B54F5E"/>
    <w:rsid w:val="00B56B5F"/>
    <w:rsid w:val="00B56FBE"/>
    <w:rsid w:val="00B57E16"/>
    <w:rsid w:val="00B60ACF"/>
    <w:rsid w:val="00B61EBC"/>
    <w:rsid w:val="00B62B58"/>
    <w:rsid w:val="00B644B2"/>
    <w:rsid w:val="00B65149"/>
    <w:rsid w:val="00B66567"/>
    <w:rsid w:val="00B66F16"/>
    <w:rsid w:val="00B66F52"/>
    <w:rsid w:val="00B66FE5"/>
    <w:rsid w:val="00B72880"/>
    <w:rsid w:val="00B72A0B"/>
    <w:rsid w:val="00B736F6"/>
    <w:rsid w:val="00B73B5C"/>
    <w:rsid w:val="00B758BF"/>
    <w:rsid w:val="00B771C2"/>
    <w:rsid w:val="00B77EC8"/>
    <w:rsid w:val="00B805DC"/>
    <w:rsid w:val="00B8120B"/>
    <w:rsid w:val="00B824CE"/>
    <w:rsid w:val="00B827A6"/>
    <w:rsid w:val="00B831CE"/>
    <w:rsid w:val="00B83305"/>
    <w:rsid w:val="00B83351"/>
    <w:rsid w:val="00B83594"/>
    <w:rsid w:val="00B84B08"/>
    <w:rsid w:val="00B859F9"/>
    <w:rsid w:val="00B86677"/>
    <w:rsid w:val="00B86A92"/>
    <w:rsid w:val="00B86B8C"/>
    <w:rsid w:val="00B86CC2"/>
    <w:rsid w:val="00B87131"/>
    <w:rsid w:val="00B90A4C"/>
    <w:rsid w:val="00B91A9B"/>
    <w:rsid w:val="00B928CA"/>
    <w:rsid w:val="00B92E86"/>
    <w:rsid w:val="00B939B1"/>
    <w:rsid w:val="00B93D74"/>
    <w:rsid w:val="00B958C2"/>
    <w:rsid w:val="00B95948"/>
    <w:rsid w:val="00B968BE"/>
    <w:rsid w:val="00B96BF4"/>
    <w:rsid w:val="00B96D40"/>
    <w:rsid w:val="00B96F29"/>
    <w:rsid w:val="00B97386"/>
    <w:rsid w:val="00BA16DF"/>
    <w:rsid w:val="00BA263B"/>
    <w:rsid w:val="00BA42B2"/>
    <w:rsid w:val="00BA58D4"/>
    <w:rsid w:val="00BA5B9E"/>
    <w:rsid w:val="00BA71F5"/>
    <w:rsid w:val="00BA7629"/>
    <w:rsid w:val="00BA7C9A"/>
    <w:rsid w:val="00BB00AE"/>
    <w:rsid w:val="00BB0E1D"/>
    <w:rsid w:val="00BB203B"/>
    <w:rsid w:val="00BB5F8F"/>
    <w:rsid w:val="00BB657A"/>
    <w:rsid w:val="00BC0C07"/>
    <w:rsid w:val="00BC0FA9"/>
    <w:rsid w:val="00BC0FF4"/>
    <w:rsid w:val="00BC111E"/>
    <w:rsid w:val="00BC1A4E"/>
    <w:rsid w:val="00BC3C3F"/>
    <w:rsid w:val="00BC4126"/>
    <w:rsid w:val="00BC4790"/>
    <w:rsid w:val="00BC53CA"/>
    <w:rsid w:val="00BC5DC7"/>
    <w:rsid w:val="00BC64DE"/>
    <w:rsid w:val="00BC6B8B"/>
    <w:rsid w:val="00BC6DCD"/>
    <w:rsid w:val="00BC73D8"/>
    <w:rsid w:val="00BD084F"/>
    <w:rsid w:val="00BD51B9"/>
    <w:rsid w:val="00BD52D7"/>
    <w:rsid w:val="00BD5AD2"/>
    <w:rsid w:val="00BD5C15"/>
    <w:rsid w:val="00BD6BB5"/>
    <w:rsid w:val="00BD7533"/>
    <w:rsid w:val="00BE0906"/>
    <w:rsid w:val="00BE0B84"/>
    <w:rsid w:val="00BE0E52"/>
    <w:rsid w:val="00BE10B4"/>
    <w:rsid w:val="00BE22F3"/>
    <w:rsid w:val="00BE2E33"/>
    <w:rsid w:val="00BE3E08"/>
    <w:rsid w:val="00BE5B52"/>
    <w:rsid w:val="00BE7B8D"/>
    <w:rsid w:val="00BF0384"/>
    <w:rsid w:val="00BF03DD"/>
    <w:rsid w:val="00BF0993"/>
    <w:rsid w:val="00BF10A9"/>
    <w:rsid w:val="00BF11F3"/>
    <w:rsid w:val="00BF1703"/>
    <w:rsid w:val="00BF231C"/>
    <w:rsid w:val="00BF3DC8"/>
    <w:rsid w:val="00BF51E5"/>
    <w:rsid w:val="00BF5EA8"/>
    <w:rsid w:val="00BF5FCD"/>
    <w:rsid w:val="00BF74A6"/>
    <w:rsid w:val="00BF7853"/>
    <w:rsid w:val="00C01061"/>
    <w:rsid w:val="00C013AD"/>
    <w:rsid w:val="00C04904"/>
    <w:rsid w:val="00C04E51"/>
    <w:rsid w:val="00C056B3"/>
    <w:rsid w:val="00C06023"/>
    <w:rsid w:val="00C103E5"/>
    <w:rsid w:val="00C105EA"/>
    <w:rsid w:val="00C10DA4"/>
    <w:rsid w:val="00C10EA9"/>
    <w:rsid w:val="00C13319"/>
    <w:rsid w:val="00C13EE9"/>
    <w:rsid w:val="00C14B9C"/>
    <w:rsid w:val="00C21031"/>
    <w:rsid w:val="00C21540"/>
    <w:rsid w:val="00C215B8"/>
    <w:rsid w:val="00C21906"/>
    <w:rsid w:val="00C21BFA"/>
    <w:rsid w:val="00C22148"/>
    <w:rsid w:val="00C23ED8"/>
    <w:rsid w:val="00C24C8D"/>
    <w:rsid w:val="00C24DC7"/>
    <w:rsid w:val="00C25653"/>
    <w:rsid w:val="00C25FE2"/>
    <w:rsid w:val="00C26B53"/>
    <w:rsid w:val="00C26D18"/>
    <w:rsid w:val="00C279B2"/>
    <w:rsid w:val="00C30091"/>
    <w:rsid w:val="00C323FD"/>
    <w:rsid w:val="00C33069"/>
    <w:rsid w:val="00C33E50"/>
    <w:rsid w:val="00C34C20"/>
    <w:rsid w:val="00C35A3E"/>
    <w:rsid w:val="00C35B95"/>
    <w:rsid w:val="00C36A9C"/>
    <w:rsid w:val="00C42130"/>
    <w:rsid w:val="00C423A4"/>
    <w:rsid w:val="00C43A83"/>
    <w:rsid w:val="00C44BF5"/>
    <w:rsid w:val="00C457AA"/>
    <w:rsid w:val="00C470C3"/>
    <w:rsid w:val="00C47544"/>
    <w:rsid w:val="00C5022C"/>
    <w:rsid w:val="00C50BD6"/>
    <w:rsid w:val="00C51A4E"/>
    <w:rsid w:val="00C51C75"/>
    <w:rsid w:val="00C521D6"/>
    <w:rsid w:val="00C53B04"/>
    <w:rsid w:val="00C55232"/>
    <w:rsid w:val="00C553A4"/>
    <w:rsid w:val="00C55843"/>
    <w:rsid w:val="00C55A06"/>
    <w:rsid w:val="00C55D03"/>
    <w:rsid w:val="00C55E97"/>
    <w:rsid w:val="00C5720E"/>
    <w:rsid w:val="00C601BC"/>
    <w:rsid w:val="00C60632"/>
    <w:rsid w:val="00C6329F"/>
    <w:rsid w:val="00C63340"/>
    <w:rsid w:val="00C633EE"/>
    <w:rsid w:val="00C643F9"/>
    <w:rsid w:val="00C64D7C"/>
    <w:rsid w:val="00C64E95"/>
    <w:rsid w:val="00C65B3A"/>
    <w:rsid w:val="00C666BA"/>
    <w:rsid w:val="00C70DEE"/>
    <w:rsid w:val="00C71372"/>
    <w:rsid w:val="00C72410"/>
    <w:rsid w:val="00C7287F"/>
    <w:rsid w:val="00C730A9"/>
    <w:rsid w:val="00C77AA8"/>
    <w:rsid w:val="00C80588"/>
    <w:rsid w:val="00C80CB8"/>
    <w:rsid w:val="00C810AE"/>
    <w:rsid w:val="00C819F8"/>
    <w:rsid w:val="00C8248C"/>
    <w:rsid w:val="00C838EC"/>
    <w:rsid w:val="00C84B67"/>
    <w:rsid w:val="00C84E33"/>
    <w:rsid w:val="00C85B79"/>
    <w:rsid w:val="00C86D6F"/>
    <w:rsid w:val="00C87F92"/>
    <w:rsid w:val="00C905FC"/>
    <w:rsid w:val="00C90768"/>
    <w:rsid w:val="00C907C6"/>
    <w:rsid w:val="00C90A00"/>
    <w:rsid w:val="00C90B77"/>
    <w:rsid w:val="00C91371"/>
    <w:rsid w:val="00C92CBD"/>
    <w:rsid w:val="00C92D03"/>
    <w:rsid w:val="00C9319C"/>
    <w:rsid w:val="00C9435D"/>
    <w:rsid w:val="00C94DF2"/>
    <w:rsid w:val="00C94E75"/>
    <w:rsid w:val="00C953A2"/>
    <w:rsid w:val="00C966EA"/>
    <w:rsid w:val="00C96741"/>
    <w:rsid w:val="00CA06A2"/>
    <w:rsid w:val="00CA11D1"/>
    <w:rsid w:val="00CA1324"/>
    <w:rsid w:val="00CA1684"/>
    <w:rsid w:val="00CA1C14"/>
    <w:rsid w:val="00CA2D1B"/>
    <w:rsid w:val="00CA375D"/>
    <w:rsid w:val="00CA409E"/>
    <w:rsid w:val="00CA662A"/>
    <w:rsid w:val="00CA7AFD"/>
    <w:rsid w:val="00CA7C3C"/>
    <w:rsid w:val="00CB0189"/>
    <w:rsid w:val="00CB0BA2"/>
    <w:rsid w:val="00CB1A06"/>
    <w:rsid w:val="00CB1A42"/>
    <w:rsid w:val="00CB1A74"/>
    <w:rsid w:val="00CB1B0C"/>
    <w:rsid w:val="00CB27C1"/>
    <w:rsid w:val="00CB2B50"/>
    <w:rsid w:val="00CB2C0B"/>
    <w:rsid w:val="00CB2D7B"/>
    <w:rsid w:val="00CB3E70"/>
    <w:rsid w:val="00CB4271"/>
    <w:rsid w:val="00CB487B"/>
    <w:rsid w:val="00CB517D"/>
    <w:rsid w:val="00CB59F4"/>
    <w:rsid w:val="00CC033D"/>
    <w:rsid w:val="00CC038D"/>
    <w:rsid w:val="00CC08DB"/>
    <w:rsid w:val="00CC105D"/>
    <w:rsid w:val="00CC2B3B"/>
    <w:rsid w:val="00CC2E58"/>
    <w:rsid w:val="00CC39FF"/>
    <w:rsid w:val="00CC3C2F"/>
    <w:rsid w:val="00CC4AC8"/>
    <w:rsid w:val="00CC4E99"/>
    <w:rsid w:val="00CC5233"/>
    <w:rsid w:val="00CC5DE6"/>
    <w:rsid w:val="00CC651C"/>
    <w:rsid w:val="00CC6E4E"/>
    <w:rsid w:val="00CC6FE8"/>
    <w:rsid w:val="00CC7202"/>
    <w:rsid w:val="00CC7C1D"/>
    <w:rsid w:val="00CD1A61"/>
    <w:rsid w:val="00CD2808"/>
    <w:rsid w:val="00CD28BF"/>
    <w:rsid w:val="00CD311A"/>
    <w:rsid w:val="00CD3895"/>
    <w:rsid w:val="00CD3909"/>
    <w:rsid w:val="00CD4092"/>
    <w:rsid w:val="00CD4A20"/>
    <w:rsid w:val="00CD4C5D"/>
    <w:rsid w:val="00CD50A1"/>
    <w:rsid w:val="00CD519E"/>
    <w:rsid w:val="00CD561D"/>
    <w:rsid w:val="00CE0C4F"/>
    <w:rsid w:val="00CE1D19"/>
    <w:rsid w:val="00CE25D5"/>
    <w:rsid w:val="00CE30EA"/>
    <w:rsid w:val="00CE423B"/>
    <w:rsid w:val="00CE4245"/>
    <w:rsid w:val="00CE46A2"/>
    <w:rsid w:val="00CE7D6F"/>
    <w:rsid w:val="00CF048A"/>
    <w:rsid w:val="00CF0548"/>
    <w:rsid w:val="00CF155A"/>
    <w:rsid w:val="00CF2947"/>
    <w:rsid w:val="00CF42D5"/>
    <w:rsid w:val="00CF43F0"/>
    <w:rsid w:val="00CF458D"/>
    <w:rsid w:val="00CF46E7"/>
    <w:rsid w:val="00CF686F"/>
    <w:rsid w:val="00CF6892"/>
    <w:rsid w:val="00CF6E60"/>
    <w:rsid w:val="00CF707E"/>
    <w:rsid w:val="00CF7B37"/>
    <w:rsid w:val="00CF7BCA"/>
    <w:rsid w:val="00D008FD"/>
    <w:rsid w:val="00D01493"/>
    <w:rsid w:val="00D0180C"/>
    <w:rsid w:val="00D02A11"/>
    <w:rsid w:val="00D02E30"/>
    <w:rsid w:val="00D0321C"/>
    <w:rsid w:val="00D035EC"/>
    <w:rsid w:val="00D05636"/>
    <w:rsid w:val="00D06531"/>
    <w:rsid w:val="00D068F3"/>
    <w:rsid w:val="00D06AB1"/>
    <w:rsid w:val="00D072ED"/>
    <w:rsid w:val="00D0733C"/>
    <w:rsid w:val="00D07A16"/>
    <w:rsid w:val="00D07BCA"/>
    <w:rsid w:val="00D1017C"/>
    <w:rsid w:val="00D1067E"/>
    <w:rsid w:val="00D10B18"/>
    <w:rsid w:val="00D10C6A"/>
    <w:rsid w:val="00D10F50"/>
    <w:rsid w:val="00D11272"/>
    <w:rsid w:val="00D126F5"/>
    <w:rsid w:val="00D13B40"/>
    <w:rsid w:val="00D1489E"/>
    <w:rsid w:val="00D148DA"/>
    <w:rsid w:val="00D14C02"/>
    <w:rsid w:val="00D14E33"/>
    <w:rsid w:val="00D15B0D"/>
    <w:rsid w:val="00D20685"/>
    <w:rsid w:val="00D206CB"/>
    <w:rsid w:val="00D20737"/>
    <w:rsid w:val="00D21609"/>
    <w:rsid w:val="00D21E81"/>
    <w:rsid w:val="00D223DE"/>
    <w:rsid w:val="00D22960"/>
    <w:rsid w:val="00D22D87"/>
    <w:rsid w:val="00D23B09"/>
    <w:rsid w:val="00D24037"/>
    <w:rsid w:val="00D24CE7"/>
    <w:rsid w:val="00D25E37"/>
    <w:rsid w:val="00D2661A"/>
    <w:rsid w:val="00D274A8"/>
    <w:rsid w:val="00D27582"/>
    <w:rsid w:val="00D27D2F"/>
    <w:rsid w:val="00D27EC4"/>
    <w:rsid w:val="00D32719"/>
    <w:rsid w:val="00D33333"/>
    <w:rsid w:val="00D33457"/>
    <w:rsid w:val="00D334D4"/>
    <w:rsid w:val="00D33E8D"/>
    <w:rsid w:val="00D34246"/>
    <w:rsid w:val="00D352A2"/>
    <w:rsid w:val="00D3561F"/>
    <w:rsid w:val="00D36169"/>
    <w:rsid w:val="00D4162B"/>
    <w:rsid w:val="00D417EC"/>
    <w:rsid w:val="00D42028"/>
    <w:rsid w:val="00D42D31"/>
    <w:rsid w:val="00D448C2"/>
    <w:rsid w:val="00D44AE9"/>
    <w:rsid w:val="00D4514F"/>
    <w:rsid w:val="00D451E2"/>
    <w:rsid w:val="00D45E89"/>
    <w:rsid w:val="00D45E8D"/>
    <w:rsid w:val="00D466AE"/>
    <w:rsid w:val="00D4734F"/>
    <w:rsid w:val="00D51BF3"/>
    <w:rsid w:val="00D52395"/>
    <w:rsid w:val="00D52E8F"/>
    <w:rsid w:val="00D56861"/>
    <w:rsid w:val="00D56E6A"/>
    <w:rsid w:val="00D5719A"/>
    <w:rsid w:val="00D57772"/>
    <w:rsid w:val="00D57D24"/>
    <w:rsid w:val="00D57F2B"/>
    <w:rsid w:val="00D60D8F"/>
    <w:rsid w:val="00D633AA"/>
    <w:rsid w:val="00D64477"/>
    <w:rsid w:val="00D6529E"/>
    <w:rsid w:val="00D656B9"/>
    <w:rsid w:val="00D66846"/>
    <w:rsid w:val="00D66F8F"/>
    <w:rsid w:val="00D675FB"/>
    <w:rsid w:val="00D67CA1"/>
    <w:rsid w:val="00D67E65"/>
    <w:rsid w:val="00D70AD7"/>
    <w:rsid w:val="00D71832"/>
    <w:rsid w:val="00D71F25"/>
    <w:rsid w:val="00D72A9C"/>
    <w:rsid w:val="00D73C1F"/>
    <w:rsid w:val="00D7467C"/>
    <w:rsid w:val="00D75510"/>
    <w:rsid w:val="00D76262"/>
    <w:rsid w:val="00D77031"/>
    <w:rsid w:val="00D806C7"/>
    <w:rsid w:val="00D80C42"/>
    <w:rsid w:val="00D811DA"/>
    <w:rsid w:val="00D833BA"/>
    <w:rsid w:val="00D83BED"/>
    <w:rsid w:val="00D84815"/>
    <w:rsid w:val="00D84941"/>
    <w:rsid w:val="00D84FA1"/>
    <w:rsid w:val="00D851F0"/>
    <w:rsid w:val="00D86DB7"/>
    <w:rsid w:val="00D8743B"/>
    <w:rsid w:val="00D90667"/>
    <w:rsid w:val="00D91E31"/>
    <w:rsid w:val="00D926D0"/>
    <w:rsid w:val="00D93030"/>
    <w:rsid w:val="00D947C0"/>
    <w:rsid w:val="00D950E1"/>
    <w:rsid w:val="00D952A6"/>
    <w:rsid w:val="00D97F99"/>
    <w:rsid w:val="00DA1044"/>
    <w:rsid w:val="00DA1E08"/>
    <w:rsid w:val="00DA24F8"/>
    <w:rsid w:val="00DA28E8"/>
    <w:rsid w:val="00DA294A"/>
    <w:rsid w:val="00DA3800"/>
    <w:rsid w:val="00DA38D3"/>
    <w:rsid w:val="00DA3932"/>
    <w:rsid w:val="00DA3AFC"/>
    <w:rsid w:val="00DA5014"/>
    <w:rsid w:val="00DA5191"/>
    <w:rsid w:val="00DA5D9F"/>
    <w:rsid w:val="00DA63B0"/>
    <w:rsid w:val="00DA6495"/>
    <w:rsid w:val="00DA64F8"/>
    <w:rsid w:val="00DA6C15"/>
    <w:rsid w:val="00DA7576"/>
    <w:rsid w:val="00DB0258"/>
    <w:rsid w:val="00DB102C"/>
    <w:rsid w:val="00DB38EE"/>
    <w:rsid w:val="00DB3939"/>
    <w:rsid w:val="00DB3E9B"/>
    <w:rsid w:val="00DB498B"/>
    <w:rsid w:val="00DB609B"/>
    <w:rsid w:val="00DB65DF"/>
    <w:rsid w:val="00DB66CA"/>
    <w:rsid w:val="00DB6BCA"/>
    <w:rsid w:val="00DB6F03"/>
    <w:rsid w:val="00DB73F7"/>
    <w:rsid w:val="00DC021C"/>
    <w:rsid w:val="00DC0321"/>
    <w:rsid w:val="00DC09DD"/>
    <w:rsid w:val="00DC226B"/>
    <w:rsid w:val="00DC3067"/>
    <w:rsid w:val="00DC370B"/>
    <w:rsid w:val="00DC40B7"/>
    <w:rsid w:val="00DC5063"/>
    <w:rsid w:val="00DC5628"/>
    <w:rsid w:val="00DC57D9"/>
    <w:rsid w:val="00DC5B90"/>
    <w:rsid w:val="00DC5C40"/>
    <w:rsid w:val="00DC7C1D"/>
    <w:rsid w:val="00DD00FF"/>
    <w:rsid w:val="00DD0619"/>
    <w:rsid w:val="00DD07FB"/>
    <w:rsid w:val="00DD0A52"/>
    <w:rsid w:val="00DD1C53"/>
    <w:rsid w:val="00DD2375"/>
    <w:rsid w:val="00DD25C6"/>
    <w:rsid w:val="00DD38EA"/>
    <w:rsid w:val="00DD4015"/>
    <w:rsid w:val="00DD4FE5"/>
    <w:rsid w:val="00DD54B0"/>
    <w:rsid w:val="00DD57EE"/>
    <w:rsid w:val="00DD6543"/>
    <w:rsid w:val="00DD6BCC"/>
    <w:rsid w:val="00DD774F"/>
    <w:rsid w:val="00DE039B"/>
    <w:rsid w:val="00DE0A4B"/>
    <w:rsid w:val="00DE2410"/>
    <w:rsid w:val="00DE2939"/>
    <w:rsid w:val="00DE55C1"/>
    <w:rsid w:val="00DE5935"/>
    <w:rsid w:val="00DE5940"/>
    <w:rsid w:val="00DE64C3"/>
    <w:rsid w:val="00DE6E81"/>
    <w:rsid w:val="00DE703F"/>
    <w:rsid w:val="00DE7595"/>
    <w:rsid w:val="00DE7BB7"/>
    <w:rsid w:val="00DF047B"/>
    <w:rsid w:val="00DF05C8"/>
    <w:rsid w:val="00DF077B"/>
    <w:rsid w:val="00DF07F4"/>
    <w:rsid w:val="00DF1118"/>
    <w:rsid w:val="00DF1961"/>
    <w:rsid w:val="00DF44DE"/>
    <w:rsid w:val="00DF45CC"/>
    <w:rsid w:val="00DF53C4"/>
    <w:rsid w:val="00DF5F11"/>
    <w:rsid w:val="00DF663D"/>
    <w:rsid w:val="00E00411"/>
    <w:rsid w:val="00E00B87"/>
    <w:rsid w:val="00E01138"/>
    <w:rsid w:val="00E02D17"/>
    <w:rsid w:val="00E02DFB"/>
    <w:rsid w:val="00E030F9"/>
    <w:rsid w:val="00E0311A"/>
    <w:rsid w:val="00E03138"/>
    <w:rsid w:val="00E03938"/>
    <w:rsid w:val="00E05264"/>
    <w:rsid w:val="00E06350"/>
    <w:rsid w:val="00E06404"/>
    <w:rsid w:val="00E065D2"/>
    <w:rsid w:val="00E07C39"/>
    <w:rsid w:val="00E1184E"/>
    <w:rsid w:val="00E11A85"/>
    <w:rsid w:val="00E12495"/>
    <w:rsid w:val="00E12EA1"/>
    <w:rsid w:val="00E12FA3"/>
    <w:rsid w:val="00E139F1"/>
    <w:rsid w:val="00E14F45"/>
    <w:rsid w:val="00E15CCD"/>
    <w:rsid w:val="00E200D5"/>
    <w:rsid w:val="00E202EF"/>
    <w:rsid w:val="00E210B5"/>
    <w:rsid w:val="00E21458"/>
    <w:rsid w:val="00E21A91"/>
    <w:rsid w:val="00E22FF2"/>
    <w:rsid w:val="00E2397C"/>
    <w:rsid w:val="00E23D99"/>
    <w:rsid w:val="00E23EDA"/>
    <w:rsid w:val="00E248E9"/>
    <w:rsid w:val="00E2552F"/>
    <w:rsid w:val="00E264EB"/>
    <w:rsid w:val="00E3058B"/>
    <w:rsid w:val="00E30853"/>
    <w:rsid w:val="00E30932"/>
    <w:rsid w:val="00E31248"/>
    <w:rsid w:val="00E3137A"/>
    <w:rsid w:val="00E32CCF"/>
    <w:rsid w:val="00E34A98"/>
    <w:rsid w:val="00E34E7B"/>
    <w:rsid w:val="00E35D1E"/>
    <w:rsid w:val="00E364F9"/>
    <w:rsid w:val="00E365FA"/>
    <w:rsid w:val="00E36789"/>
    <w:rsid w:val="00E3797B"/>
    <w:rsid w:val="00E40697"/>
    <w:rsid w:val="00E410A3"/>
    <w:rsid w:val="00E42BC1"/>
    <w:rsid w:val="00E43A50"/>
    <w:rsid w:val="00E43F61"/>
    <w:rsid w:val="00E44A83"/>
    <w:rsid w:val="00E46971"/>
    <w:rsid w:val="00E47671"/>
    <w:rsid w:val="00E5020F"/>
    <w:rsid w:val="00E502C1"/>
    <w:rsid w:val="00E502DD"/>
    <w:rsid w:val="00E50D3A"/>
    <w:rsid w:val="00E50DAD"/>
    <w:rsid w:val="00E51387"/>
    <w:rsid w:val="00E51E68"/>
    <w:rsid w:val="00E52EFD"/>
    <w:rsid w:val="00E53283"/>
    <w:rsid w:val="00E53405"/>
    <w:rsid w:val="00E5408A"/>
    <w:rsid w:val="00E5424A"/>
    <w:rsid w:val="00E555D0"/>
    <w:rsid w:val="00E55C21"/>
    <w:rsid w:val="00E56800"/>
    <w:rsid w:val="00E60C63"/>
    <w:rsid w:val="00E60E8D"/>
    <w:rsid w:val="00E62FF9"/>
    <w:rsid w:val="00E635D6"/>
    <w:rsid w:val="00E639BC"/>
    <w:rsid w:val="00E6465D"/>
    <w:rsid w:val="00E646A5"/>
    <w:rsid w:val="00E64E25"/>
    <w:rsid w:val="00E664CC"/>
    <w:rsid w:val="00E70388"/>
    <w:rsid w:val="00E70F92"/>
    <w:rsid w:val="00E717DC"/>
    <w:rsid w:val="00E7207E"/>
    <w:rsid w:val="00E73045"/>
    <w:rsid w:val="00E73E0F"/>
    <w:rsid w:val="00E740B7"/>
    <w:rsid w:val="00E74C54"/>
    <w:rsid w:val="00E76C87"/>
    <w:rsid w:val="00E77A03"/>
    <w:rsid w:val="00E81BB8"/>
    <w:rsid w:val="00E822E8"/>
    <w:rsid w:val="00E82554"/>
    <w:rsid w:val="00E82606"/>
    <w:rsid w:val="00E84262"/>
    <w:rsid w:val="00E846C8"/>
    <w:rsid w:val="00E84867"/>
    <w:rsid w:val="00E84957"/>
    <w:rsid w:val="00E84A55"/>
    <w:rsid w:val="00E858EF"/>
    <w:rsid w:val="00E85A2C"/>
    <w:rsid w:val="00E85BFF"/>
    <w:rsid w:val="00E87D1B"/>
    <w:rsid w:val="00E87D6C"/>
    <w:rsid w:val="00E90391"/>
    <w:rsid w:val="00E906C2"/>
    <w:rsid w:val="00E929B0"/>
    <w:rsid w:val="00E9311F"/>
    <w:rsid w:val="00E932D5"/>
    <w:rsid w:val="00E934D1"/>
    <w:rsid w:val="00E935BF"/>
    <w:rsid w:val="00E9476B"/>
    <w:rsid w:val="00E94AF0"/>
    <w:rsid w:val="00E94F42"/>
    <w:rsid w:val="00E95D13"/>
    <w:rsid w:val="00E95DD3"/>
    <w:rsid w:val="00E960E1"/>
    <w:rsid w:val="00E96153"/>
    <w:rsid w:val="00E969D5"/>
    <w:rsid w:val="00EA0D86"/>
    <w:rsid w:val="00EA2F3C"/>
    <w:rsid w:val="00EA5515"/>
    <w:rsid w:val="00EA559A"/>
    <w:rsid w:val="00EA58D1"/>
    <w:rsid w:val="00EA61BC"/>
    <w:rsid w:val="00EA62F6"/>
    <w:rsid w:val="00EA6349"/>
    <w:rsid w:val="00EA681A"/>
    <w:rsid w:val="00EA6962"/>
    <w:rsid w:val="00EA735B"/>
    <w:rsid w:val="00EB00DD"/>
    <w:rsid w:val="00EB0152"/>
    <w:rsid w:val="00EB15B9"/>
    <w:rsid w:val="00EB17DE"/>
    <w:rsid w:val="00EB1E69"/>
    <w:rsid w:val="00EB2086"/>
    <w:rsid w:val="00EB2FB7"/>
    <w:rsid w:val="00EB3844"/>
    <w:rsid w:val="00EB45F2"/>
    <w:rsid w:val="00EB4716"/>
    <w:rsid w:val="00EB5EDF"/>
    <w:rsid w:val="00EB6068"/>
    <w:rsid w:val="00EB60FE"/>
    <w:rsid w:val="00EB6F3C"/>
    <w:rsid w:val="00EB74DB"/>
    <w:rsid w:val="00EB7B88"/>
    <w:rsid w:val="00EC297A"/>
    <w:rsid w:val="00EC2F12"/>
    <w:rsid w:val="00EC4B0F"/>
    <w:rsid w:val="00EC5359"/>
    <w:rsid w:val="00EC562A"/>
    <w:rsid w:val="00EC7CC3"/>
    <w:rsid w:val="00ED067A"/>
    <w:rsid w:val="00ED0748"/>
    <w:rsid w:val="00ED09ED"/>
    <w:rsid w:val="00ED1488"/>
    <w:rsid w:val="00ED2B50"/>
    <w:rsid w:val="00ED2E84"/>
    <w:rsid w:val="00ED319F"/>
    <w:rsid w:val="00ED4D0F"/>
    <w:rsid w:val="00ED6060"/>
    <w:rsid w:val="00ED60AE"/>
    <w:rsid w:val="00ED75E9"/>
    <w:rsid w:val="00ED7DBC"/>
    <w:rsid w:val="00EE0350"/>
    <w:rsid w:val="00EE042D"/>
    <w:rsid w:val="00EE0719"/>
    <w:rsid w:val="00EE0E80"/>
    <w:rsid w:val="00EE49E4"/>
    <w:rsid w:val="00EE4B45"/>
    <w:rsid w:val="00EE54A6"/>
    <w:rsid w:val="00EE613F"/>
    <w:rsid w:val="00EE7295"/>
    <w:rsid w:val="00EE769E"/>
    <w:rsid w:val="00EE7869"/>
    <w:rsid w:val="00EF054A"/>
    <w:rsid w:val="00EF1773"/>
    <w:rsid w:val="00EF2D26"/>
    <w:rsid w:val="00EF3235"/>
    <w:rsid w:val="00EF3500"/>
    <w:rsid w:val="00EF59E3"/>
    <w:rsid w:val="00EF7E72"/>
    <w:rsid w:val="00F004F1"/>
    <w:rsid w:val="00F0565B"/>
    <w:rsid w:val="00F06D37"/>
    <w:rsid w:val="00F07B9D"/>
    <w:rsid w:val="00F07FC2"/>
    <w:rsid w:val="00F10FB3"/>
    <w:rsid w:val="00F11586"/>
    <w:rsid w:val="00F1183B"/>
    <w:rsid w:val="00F11C9F"/>
    <w:rsid w:val="00F12263"/>
    <w:rsid w:val="00F1409D"/>
    <w:rsid w:val="00F14214"/>
    <w:rsid w:val="00F157A9"/>
    <w:rsid w:val="00F15BC4"/>
    <w:rsid w:val="00F17E73"/>
    <w:rsid w:val="00F200F2"/>
    <w:rsid w:val="00F20543"/>
    <w:rsid w:val="00F24879"/>
    <w:rsid w:val="00F25BB6"/>
    <w:rsid w:val="00F26B7E"/>
    <w:rsid w:val="00F27A3B"/>
    <w:rsid w:val="00F33817"/>
    <w:rsid w:val="00F33A97"/>
    <w:rsid w:val="00F33BC9"/>
    <w:rsid w:val="00F34F92"/>
    <w:rsid w:val="00F3648D"/>
    <w:rsid w:val="00F37C0B"/>
    <w:rsid w:val="00F420D5"/>
    <w:rsid w:val="00F42E30"/>
    <w:rsid w:val="00F451EA"/>
    <w:rsid w:val="00F45447"/>
    <w:rsid w:val="00F456C6"/>
    <w:rsid w:val="00F4577B"/>
    <w:rsid w:val="00F46339"/>
    <w:rsid w:val="00F46496"/>
    <w:rsid w:val="00F46ADB"/>
    <w:rsid w:val="00F474D0"/>
    <w:rsid w:val="00F50179"/>
    <w:rsid w:val="00F50BCF"/>
    <w:rsid w:val="00F50E18"/>
    <w:rsid w:val="00F515EE"/>
    <w:rsid w:val="00F534BC"/>
    <w:rsid w:val="00F5589B"/>
    <w:rsid w:val="00F55E45"/>
    <w:rsid w:val="00F56511"/>
    <w:rsid w:val="00F572F3"/>
    <w:rsid w:val="00F6194E"/>
    <w:rsid w:val="00F623AC"/>
    <w:rsid w:val="00F623FE"/>
    <w:rsid w:val="00F63F70"/>
    <w:rsid w:val="00F6409E"/>
    <w:rsid w:val="00F6412A"/>
    <w:rsid w:val="00F648D0"/>
    <w:rsid w:val="00F65893"/>
    <w:rsid w:val="00F65EEC"/>
    <w:rsid w:val="00F66516"/>
    <w:rsid w:val="00F66705"/>
    <w:rsid w:val="00F66A4A"/>
    <w:rsid w:val="00F6728B"/>
    <w:rsid w:val="00F6779E"/>
    <w:rsid w:val="00F70058"/>
    <w:rsid w:val="00F708D8"/>
    <w:rsid w:val="00F70E07"/>
    <w:rsid w:val="00F71E22"/>
    <w:rsid w:val="00F71F3E"/>
    <w:rsid w:val="00F72142"/>
    <w:rsid w:val="00F728E1"/>
    <w:rsid w:val="00F72AE7"/>
    <w:rsid w:val="00F73D1D"/>
    <w:rsid w:val="00F77BEA"/>
    <w:rsid w:val="00F81141"/>
    <w:rsid w:val="00F8140D"/>
    <w:rsid w:val="00F81B77"/>
    <w:rsid w:val="00F833BA"/>
    <w:rsid w:val="00F84E10"/>
    <w:rsid w:val="00F84FD0"/>
    <w:rsid w:val="00F859A8"/>
    <w:rsid w:val="00F86D87"/>
    <w:rsid w:val="00F874C6"/>
    <w:rsid w:val="00F87FB0"/>
    <w:rsid w:val="00F9108B"/>
    <w:rsid w:val="00F91349"/>
    <w:rsid w:val="00F928F4"/>
    <w:rsid w:val="00F938FC"/>
    <w:rsid w:val="00F93A8A"/>
    <w:rsid w:val="00F93E7F"/>
    <w:rsid w:val="00F94C4A"/>
    <w:rsid w:val="00F95248"/>
    <w:rsid w:val="00F95357"/>
    <w:rsid w:val="00F956A9"/>
    <w:rsid w:val="00F963D1"/>
    <w:rsid w:val="00F963ED"/>
    <w:rsid w:val="00F966CF"/>
    <w:rsid w:val="00F96854"/>
    <w:rsid w:val="00F96BA2"/>
    <w:rsid w:val="00F96CAE"/>
    <w:rsid w:val="00F971F2"/>
    <w:rsid w:val="00F97C99"/>
    <w:rsid w:val="00F97F81"/>
    <w:rsid w:val="00FA3957"/>
    <w:rsid w:val="00FA4DAC"/>
    <w:rsid w:val="00FA61B0"/>
    <w:rsid w:val="00FA662D"/>
    <w:rsid w:val="00FA73B1"/>
    <w:rsid w:val="00FA7EED"/>
    <w:rsid w:val="00FB00EC"/>
    <w:rsid w:val="00FB0CB9"/>
    <w:rsid w:val="00FB1D4D"/>
    <w:rsid w:val="00FB231D"/>
    <w:rsid w:val="00FB357F"/>
    <w:rsid w:val="00FB3F75"/>
    <w:rsid w:val="00FB3FDB"/>
    <w:rsid w:val="00FB4158"/>
    <w:rsid w:val="00FB45F1"/>
    <w:rsid w:val="00FB4A72"/>
    <w:rsid w:val="00FB50B1"/>
    <w:rsid w:val="00FB54E8"/>
    <w:rsid w:val="00FB6039"/>
    <w:rsid w:val="00FB7054"/>
    <w:rsid w:val="00FC17B7"/>
    <w:rsid w:val="00FC2CB7"/>
    <w:rsid w:val="00FC2D22"/>
    <w:rsid w:val="00FC2EA3"/>
    <w:rsid w:val="00FC4090"/>
    <w:rsid w:val="00FC55B4"/>
    <w:rsid w:val="00FC55B5"/>
    <w:rsid w:val="00FC75DD"/>
    <w:rsid w:val="00FD00E6"/>
    <w:rsid w:val="00FD09A1"/>
    <w:rsid w:val="00FD10CA"/>
    <w:rsid w:val="00FD2A7C"/>
    <w:rsid w:val="00FD3859"/>
    <w:rsid w:val="00FD59EB"/>
    <w:rsid w:val="00FD7299"/>
    <w:rsid w:val="00FE0A14"/>
    <w:rsid w:val="00FE1C39"/>
    <w:rsid w:val="00FE1FBE"/>
    <w:rsid w:val="00FE3901"/>
    <w:rsid w:val="00FE39D3"/>
    <w:rsid w:val="00FE48AE"/>
    <w:rsid w:val="00FE4BCE"/>
    <w:rsid w:val="00FE4EBD"/>
    <w:rsid w:val="00FE54AE"/>
    <w:rsid w:val="00FE576A"/>
    <w:rsid w:val="00FE69F1"/>
    <w:rsid w:val="00FE7385"/>
    <w:rsid w:val="00FE7E79"/>
    <w:rsid w:val="00FF0AA6"/>
    <w:rsid w:val="00FF1B44"/>
    <w:rsid w:val="00FF367D"/>
    <w:rsid w:val="00FF3E7D"/>
    <w:rsid w:val="00FF5A41"/>
    <w:rsid w:val="00FF5B99"/>
    <w:rsid w:val="00FF730C"/>
    <w:rsid w:val="00FF73F4"/>
    <w:rsid w:val="00FF76A4"/>
    <w:rsid w:val="00FF7CE4"/>
    <w:rsid w:val="00FF7E39"/>
    <w:rsid w:val="01286B46"/>
    <w:rsid w:val="01AD35B9"/>
    <w:rsid w:val="02F254D6"/>
    <w:rsid w:val="02F76F90"/>
    <w:rsid w:val="031968FC"/>
    <w:rsid w:val="03570B9C"/>
    <w:rsid w:val="042B5143"/>
    <w:rsid w:val="048E2D7D"/>
    <w:rsid w:val="04C52DBC"/>
    <w:rsid w:val="0517301C"/>
    <w:rsid w:val="055E078D"/>
    <w:rsid w:val="056621AB"/>
    <w:rsid w:val="06596B2F"/>
    <w:rsid w:val="06915006"/>
    <w:rsid w:val="06A05249"/>
    <w:rsid w:val="07153256"/>
    <w:rsid w:val="071F767B"/>
    <w:rsid w:val="082F79B4"/>
    <w:rsid w:val="086724C2"/>
    <w:rsid w:val="089D4039"/>
    <w:rsid w:val="09176826"/>
    <w:rsid w:val="0980738D"/>
    <w:rsid w:val="09BD0503"/>
    <w:rsid w:val="09D33980"/>
    <w:rsid w:val="0A6D5F6F"/>
    <w:rsid w:val="0AB67731"/>
    <w:rsid w:val="0ABF630F"/>
    <w:rsid w:val="0B487DEA"/>
    <w:rsid w:val="0C6F1945"/>
    <w:rsid w:val="0C9558A9"/>
    <w:rsid w:val="0CD5656A"/>
    <w:rsid w:val="0D545F39"/>
    <w:rsid w:val="0D5E37BA"/>
    <w:rsid w:val="0D9142BF"/>
    <w:rsid w:val="0E00150E"/>
    <w:rsid w:val="0E80608C"/>
    <w:rsid w:val="0EC07861"/>
    <w:rsid w:val="0F11287A"/>
    <w:rsid w:val="0F5616AC"/>
    <w:rsid w:val="101E3DAE"/>
    <w:rsid w:val="10572E1C"/>
    <w:rsid w:val="108654B0"/>
    <w:rsid w:val="10F90765"/>
    <w:rsid w:val="111755F3"/>
    <w:rsid w:val="131D0C29"/>
    <w:rsid w:val="13CC0D89"/>
    <w:rsid w:val="144D4C62"/>
    <w:rsid w:val="14EF3F6B"/>
    <w:rsid w:val="150F0621"/>
    <w:rsid w:val="15401DAE"/>
    <w:rsid w:val="15682BDE"/>
    <w:rsid w:val="15FB06EE"/>
    <w:rsid w:val="160E3446"/>
    <w:rsid w:val="16B34B25"/>
    <w:rsid w:val="192E299C"/>
    <w:rsid w:val="198D4E1D"/>
    <w:rsid w:val="1A654403"/>
    <w:rsid w:val="1A6B02D9"/>
    <w:rsid w:val="1AFA0E89"/>
    <w:rsid w:val="1BC167C5"/>
    <w:rsid w:val="1C7B36D1"/>
    <w:rsid w:val="1C9A0C60"/>
    <w:rsid w:val="1CC96E50"/>
    <w:rsid w:val="1D6F19A4"/>
    <w:rsid w:val="1D796AC8"/>
    <w:rsid w:val="1DAD0F79"/>
    <w:rsid w:val="1E193E07"/>
    <w:rsid w:val="1E5A2086"/>
    <w:rsid w:val="1ED37CB7"/>
    <w:rsid w:val="1F9601E4"/>
    <w:rsid w:val="1FBE4C66"/>
    <w:rsid w:val="2031368A"/>
    <w:rsid w:val="20606BF4"/>
    <w:rsid w:val="20A57BD4"/>
    <w:rsid w:val="218546CD"/>
    <w:rsid w:val="2341342A"/>
    <w:rsid w:val="239D3CC2"/>
    <w:rsid w:val="23E427C1"/>
    <w:rsid w:val="240326CD"/>
    <w:rsid w:val="245C47B5"/>
    <w:rsid w:val="248709F2"/>
    <w:rsid w:val="2489687A"/>
    <w:rsid w:val="24D85347"/>
    <w:rsid w:val="258C1E22"/>
    <w:rsid w:val="25E66CC5"/>
    <w:rsid w:val="26736BD7"/>
    <w:rsid w:val="26B43837"/>
    <w:rsid w:val="26D77E6D"/>
    <w:rsid w:val="26FA110F"/>
    <w:rsid w:val="271B5858"/>
    <w:rsid w:val="279D7D39"/>
    <w:rsid w:val="280C2833"/>
    <w:rsid w:val="28A84466"/>
    <w:rsid w:val="28C52BC1"/>
    <w:rsid w:val="28DD0894"/>
    <w:rsid w:val="2926649C"/>
    <w:rsid w:val="298F1421"/>
    <w:rsid w:val="29EB6846"/>
    <w:rsid w:val="2A691522"/>
    <w:rsid w:val="2A701253"/>
    <w:rsid w:val="2AAA44A4"/>
    <w:rsid w:val="2ACA0963"/>
    <w:rsid w:val="2B5E445F"/>
    <w:rsid w:val="2BC65D99"/>
    <w:rsid w:val="2DDD15EF"/>
    <w:rsid w:val="2E15517A"/>
    <w:rsid w:val="2E2854CF"/>
    <w:rsid w:val="2E6D6E41"/>
    <w:rsid w:val="2EF5195B"/>
    <w:rsid w:val="2F452CAE"/>
    <w:rsid w:val="2F9E402D"/>
    <w:rsid w:val="2FAB0637"/>
    <w:rsid w:val="31401A58"/>
    <w:rsid w:val="337C7CF8"/>
    <w:rsid w:val="33884F53"/>
    <w:rsid w:val="34C75F13"/>
    <w:rsid w:val="34DF14AF"/>
    <w:rsid w:val="35657FC1"/>
    <w:rsid w:val="3586779E"/>
    <w:rsid w:val="36BF3346"/>
    <w:rsid w:val="37280F41"/>
    <w:rsid w:val="37325D9A"/>
    <w:rsid w:val="374F3D87"/>
    <w:rsid w:val="377C4D93"/>
    <w:rsid w:val="37E868CC"/>
    <w:rsid w:val="38682859"/>
    <w:rsid w:val="390C2146"/>
    <w:rsid w:val="39167A23"/>
    <w:rsid w:val="39534D18"/>
    <w:rsid w:val="3A0635FC"/>
    <w:rsid w:val="3C157564"/>
    <w:rsid w:val="3C1621D7"/>
    <w:rsid w:val="3D3D26C3"/>
    <w:rsid w:val="3E4203D4"/>
    <w:rsid w:val="3F5C6F82"/>
    <w:rsid w:val="3F8A1C55"/>
    <w:rsid w:val="40747542"/>
    <w:rsid w:val="410C2913"/>
    <w:rsid w:val="41D41C6F"/>
    <w:rsid w:val="423A5F76"/>
    <w:rsid w:val="42D65B6D"/>
    <w:rsid w:val="431324CB"/>
    <w:rsid w:val="43C04259"/>
    <w:rsid w:val="43C26223"/>
    <w:rsid w:val="43C95804"/>
    <w:rsid w:val="43D63A7D"/>
    <w:rsid w:val="4464541C"/>
    <w:rsid w:val="44785ACF"/>
    <w:rsid w:val="451F3201"/>
    <w:rsid w:val="453E30F5"/>
    <w:rsid w:val="466454C5"/>
    <w:rsid w:val="46810B28"/>
    <w:rsid w:val="46B648A9"/>
    <w:rsid w:val="46B8390E"/>
    <w:rsid w:val="474D61BD"/>
    <w:rsid w:val="48E75E5B"/>
    <w:rsid w:val="48EE7CC4"/>
    <w:rsid w:val="491C61BA"/>
    <w:rsid w:val="49F17862"/>
    <w:rsid w:val="49FF4D06"/>
    <w:rsid w:val="4A4B1936"/>
    <w:rsid w:val="4C143394"/>
    <w:rsid w:val="4C3A50BC"/>
    <w:rsid w:val="4D064C1B"/>
    <w:rsid w:val="4D115B26"/>
    <w:rsid w:val="4E086F29"/>
    <w:rsid w:val="4E573A0C"/>
    <w:rsid w:val="4E720846"/>
    <w:rsid w:val="4E853C5A"/>
    <w:rsid w:val="4ED80FF1"/>
    <w:rsid w:val="4F014D27"/>
    <w:rsid w:val="4F2935FA"/>
    <w:rsid w:val="4F53352B"/>
    <w:rsid w:val="4F814DFE"/>
    <w:rsid w:val="50151DD1"/>
    <w:rsid w:val="5160012E"/>
    <w:rsid w:val="51C770FB"/>
    <w:rsid w:val="522D3DCE"/>
    <w:rsid w:val="523F1387"/>
    <w:rsid w:val="52BD660C"/>
    <w:rsid w:val="53011459"/>
    <w:rsid w:val="532C190B"/>
    <w:rsid w:val="53433773"/>
    <w:rsid w:val="53556D7A"/>
    <w:rsid w:val="539F5829"/>
    <w:rsid w:val="53F65193"/>
    <w:rsid w:val="54151423"/>
    <w:rsid w:val="556802B0"/>
    <w:rsid w:val="55A14EE5"/>
    <w:rsid w:val="55FC087E"/>
    <w:rsid w:val="56010E2D"/>
    <w:rsid w:val="566B532F"/>
    <w:rsid w:val="56EC39FA"/>
    <w:rsid w:val="56FD3F25"/>
    <w:rsid w:val="570405AA"/>
    <w:rsid w:val="57167E3B"/>
    <w:rsid w:val="57D904C7"/>
    <w:rsid w:val="58647451"/>
    <w:rsid w:val="5A3C3C06"/>
    <w:rsid w:val="5A9E0B5F"/>
    <w:rsid w:val="5AD341F8"/>
    <w:rsid w:val="5B191DFD"/>
    <w:rsid w:val="5B765E19"/>
    <w:rsid w:val="5B8C78B0"/>
    <w:rsid w:val="5C961BA3"/>
    <w:rsid w:val="5CB421AD"/>
    <w:rsid w:val="5D1330D6"/>
    <w:rsid w:val="5EF940B3"/>
    <w:rsid w:val="5F101250"/>
    <w:rsid w:val="5F2D216B"/>
    <w:rsid w:val="5FC86518"/>
    <w:rsid w:val="5FE33352"/>
    <w:rsid w:val="625E13B5"/>
    <w:rsid w:val="629A04DF"/>
    <w:rsid w:val="62CD2651"/>
    <w:rsid w:val="630049A4"/>
    <w:rsid w:val="631A0A4F"/>
    <w:rsid w:val="63310878"/>
    <w:rsid w:val="634C3904"/>
    <w:rsid w:val="64F056D9"/>
    <w:rsid w:val="65D96BB5"/>
    <w:rsid w:val="65EC21E1"/>
    <w:rsid w:val="662B6D72"/>
    <w:rsid w:val="665B66D4"/>
    <w:rsid w:val="66F17D89"/>
    <w:rsid w:val="670A5A60"/>
    <w:rsid w:val="67893177"/>
    <w:rsid w:val="67910450"/>
    <w:rsid w:val="68A51AEC"/>
    <w:rsid w:val="69252C2D"/>
    <w:rsid w:val="699F653B"/>
    <w:rsid w:val="69B152C8"/>
    <w:rsid w:val="6A3550F2"/>
    <w:rsid w:val="6A753740"/>
    <w:rsid w:val="6A7F011B"/>
    <w:rsid w:val="6B1C02C5"/>
    <w:rsid w:val="6B7F09A4"/>
    <w:rsid w:val="6C1A749F"/>
    <w:rsid w:val="6C3513D9"/>
    <w:rsid w:val="6D750AAF"/>
    <w:rsid w:val="6DB12CE1"/>
    <w:rsid w:val="6E6B2E90"/>
    <w:rsid w:val="6F06705D"/>
    <w:rsid w:val="70CC398E"/>
    <w:rsid w:val="70E76A1A"/>
    <w:rsid w:val="70F829D5"/>
    <w:rsid w:val="7137174F"/>
    <w:rsid w:val="72514A93"/>
    <w:rsid w:val="727068B1"/>
    <w:rsid w:val="731D4975"/>
    <w:rsid w:val="73840550"/>
    <w:rsid w:val="75603016"/>
    <w:rsid w:val="757302BE"/>
    <w:rsid w:val="762027B2"/>
    <w:rsid w:val="764750D6"/>
    <w:rsid w:val="77A6318B"/>
    <w:rsid w:val="77C14A81"/>
    <w:rsid w:val="77DB0EDD"/>
    <w:rsid w:val="78E26444"/>
    <w:rsid w:val="790E2D96"/>
    <w:rsid w:val="793E2316"/>
    <w:rsid w:val="79D7200C"/>
    <w:rsid w:val="7A0F14BB"/>
    <w:rsid w:val="7A4517D5"/>
    <w:rsid w:val="7A681F96"/>
    <w:rsid w:val="7A8D418E"/>
    <w:rsid w:val="7BF64461"/>
    <w:rsid w:val="7BFC5454"/>
    <w:rsid w:val="7C573B71"/>
    <w:rsid w:val="7CD662C0"/>
    <w:rsid w:val="7D6F2271"/>
    <w:rsid w:val="7E7246C2"/>
    <w:rsid w:val="7E775881"/>
    <w:rsid w:val="7EE06623"/>
    <w:rsid w:val="7F874335"/>
    <w:rsid w:val="7F9F5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semiHidden="0"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3"/>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2"/>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4"/>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45"/>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6"/>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7"/>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8"/>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9"/>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0"/>
    <w:autoRedefine/>
    <w:qFormat/>
    <w:uiPriority w:val="0"/>
    <w:pPr>
      <w:keepNext/>
      <w:keepLines/>
      <w:adjustRightInd/>
      <w:spacing w:before="240" w:after="64" w:line="320" w:lineRule="auto"/>
      <w:outlineLvl w:val="8"/>
    </w:pPr>
    <w:rPr>
      <w:rFonts w:ascii="Arial" w:hAnsi="Arial" w:eastAsia="黑体"/>
    </w:rPr>
  </w:style>
  <w:style w:type="character" w:default="1" w:styleId="35">
    <w:name w:val="Default Paragraph Font"/>
    <w:semiHidden/>
    <w:unhideWhenUsed/>
    <w:uiPriority w:val="1"/>
  </w:style>
  <w:style w:type="table" w:default="1" w:styleId="33">
    <w:name w:val="Normal Table"/>
    <w:semiHidden/>
    <w:unhideWhenUsed/>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caption"/>
    <w:basedOn w:val="1"/>
    <w:next w:val="1"/>
    <w:autoRedefine/>
    <w:unhideWhenUsed/>
    <w:qFormat/>
    <w:uiPriority w:val="35"/>
    <w:rPr>
      <w:rFonts w:eastAsia="黑体" w:asciiTheme="majorHAnsi" w:hAnsiTheme="majorHAnsi" w:cstheme="majorBidi"/>
      <w:sz w:val="20"/>
      <w:szCs w:val="20"/>
    </w:rPr>
  </w:style>
  <w:style w:type="paragraph" w:styleId="14">
    <w:name w:val="annotation text"/>
    <w:basedOn w:val="1"/>
    <w:link w:val="246"/>
    <w:autoRedefine/>
    <w:unhideWhenUsed/>
    <w:qFormat/>
    <w:uiPriority w:val="99"/>
    <w:pPr>
      <w:jc w:val="left"/>
    </w:pPr>
  </w:style>
  <w:style w:type="paragraph" w:styleId="15">
    <w:name w:val="Body Text"/>
    <w:basedOn w:val="1"/>
    <w:link w:val="94"/>
    <w:autoRedefine/>
    <w:qFormat/>
    <w:uiPriority w:val="0"/>
    <w:pPr>
      <w:spacing w:after="120"/>
    </w:pPr>
  </w:style>
  <w:style w:type="paragraph" w:styleId="16">
    <w:name w:val="toc 5"/>
    <w:basedOn w:val="1"/>
    <w:next w:val="1"/>
    <w:autoRedefine/>
    <w:unhideWhenUsed/>
    <w:qFormat/>
    <w:uiPriority w:val="39"/>
    <w:pPr>
      <w:ind w:left="839"/>
    </w:pPr>
    <w:rPr>
      <w:rFonts w:ascii="宋体"/>
    </w:rPr>
  </w:style>
  <w:style w:type="paragraph" w:styleId="17">
    <w:name w:val="toc 3"/>
    <w:basedOn w:val="1"/>
    <w:next w:val="1"/>
    <w:autoRedefine/>
    <w:unhideWhenUsed/>
    <w:qFormat/>
    <w:uiPriority w:val="39"/>
    <w:pPr>
      <w:tabs>
        <w:tab w:val="right" w:leader="dot" w:pos="9344"/>
      </w:tabs>
      <w:spacing w:line="300" w:lineRule="exact"/>
      <w:ind w:left="420"/>
    </w:pPr>
    <w:rPr>
      <w:rFonts w:ascii="宋体"/>
    </w:rPr>
  </w:style>
  <w:style w:type="paragraph" w:styleId="18">
    <w:name w:val="Plain Text"/>
    <w:basedOn w:val="1"/>
    <w:autoRedefine/>
    <w:qFormat/>
    <w:uiPriority w:val="0"/>
    <w:rPr>
      <w:rFonts w:ascii="宋体" w:hAnsi="Courier New"/>
      <w:sz w:val="20"/>
      <w:szCs w:val="20"/>
    </w:rPr>
  </w:style>
  <w:style w:type="paragraph" w:styleId="19">
    <w:name w:val="toc 8"/>
    <w:basedOn w:val="1"/>
    <w:next w:val="1"/>
    <w:autoRedefine/>
    <w:unhideWhenUsed/>
    <w:qFormat/>
    <w:uiPriority w:val="39"/>
    <w:pPr>
      <w:adjustRightInd/>
      <w:spacing w:line="240" w:lineRule="auto"/>
      <w:ind w:left="2940" w:leftChars="1400"/>
    </w:pPr>
    <w:rPr>
      <w:rFonts w:asciiTheme="minorHAnsi" w:hAnsiTheme="minorHAnsi" w:eastAsiaTheme="minorEastAsia" w:cstheme="minorBidi"/>
      <w:szCs w:val="22"/>
      <w14:ligatures w14:val="standardContextual"/>
    </w:rPr>
  </w:style>
  <w:style w:type="paragraph" w:styleId="20">
    <w:name w:val="Date"/>
    <w:basedOn w:val="1"/>
    <w:next w:val="1"/>
    <w:link w:val="248"/>
    <w:autoRedefine/>
    <w:semiHidden/>
    <w:unhideWhenUsed/>
    <w:qFormat/>
    <w:uiPriority w:val="99"/>
    <w:pPr>
      <w:ind w:left="100" w:leftChars="2500"/>
    </w:pPr>
  </w:style>
  <w:style w:type="paragraph" w:styleId="21">
    <w:name w:val="Balloon Text"/>
    <w:basedOn w:val="1"/>
    <w:link w:val="53"/>
    <w:autoRedefine/>
    <w:semiHidden/>
    <w:unhideWhenUsed/>
    <w:qFormat/>
    <w:uiPriority w:val="99"/>
    <w:rPr>
      <w:sz w:val="18"/>
      <w:szCs w:val="18"/>
    </w:rPr>
  </w:style>
  <w:style w:type="paragraph" w:styleId="22">
    <w:name w:val="footer"/>
    <w:basedOn w:val="1"/>
    <w:link w:val="52"/>
    <w:autoRedefine/>
    <w:qFormat/>
    <w:uiPriority w:val="99"/>
    <w:pPr>
      <w:tabs>
        <w:tab w:val="center" w:pos="4153"/>
        <w:tab w:val="right" w:pos="8306"/>
      </w:tabs>
      <w:adjustRightInd/>
      <w:snapToGrid w:val="0"/>
      <w:spacing w:line="240" w:lineRule="auto"/>
      <w:jc w:val="center"/>
    </w:pPr>
    <w:rPr>
      <w:rFonts w:ascii="宋体" w:hAnsi="宋体" w:eastAsia="Calibri"/>
      <w:sz w:val="18"/>
      <w:szCs w:val="18"/>
    </w:rPr>
  </w:style>
  <w:style w:type="paragraph" w:styleId="23">
    <w:name w:val="header"/>
    <w:basedOn w:val="1"/>
    <w:link w:val="51"/>
    <w:autoRedefine/>
    <w:qFormat/>
    <w:uiPriority w:val="99"/>
    <w:pPr>
      <w:tabs>
        <w:tab w:val="center" w:pos="4153"/>
        <w:tab w:val="right" w:pos="8306"/>
      </w:tabs>
      <w:adjustRightInd/>
      <w:snapToGrid w:val="0"/>
      <w:jc w:val="left"/>
    </w:pPr>
    <w:rPr>
      <w:rFonts w:ascii="黑体" w:hAnsi="黑体" w:eastAsia="黑体"/>
    </w:rPr>
  </w:style>
  <w:style w:type="paragraph" w:styleId="24">
    <w:name w:val="toc 1"/>
    <w:basedOn w:val="1"/>
    <w:next w:val="1"/>
    <w:autoRedefine/>
    <w:unhideWhenUsed/>
    <w:qFormat/>
    <w:uiPriority w:val="39"/>
    <w:pPr>
      <w:tabs>
        <w:tab w:val="right" w:leader="dot" w:pos="9344"/>
      </w:tabs>
    </w:pPr>
    <w:rPr>
      <w:rFonts w:ascii="宋体"/>
    </w:rPr>
  </w:style>
  <w:style w:type="paragraph" w:styleId="25">
    <w:name w:val="toc 4"/>
    <w:basedOn w:val="1"/>
    <w:next w:val="1"/>
    <w:autoRedefine/>
    <w:unhideWhenUsed/>
    <w:qFormat/>
    <w:uiPriority w:val="39"/>
    <w:pPr>
      <w:tabs>
        <w:tab w:val="right" w:leader="dot" w:pos="9344"/>
      </w:tabs>
      <w:spacing w:line="300" w:lineRule="exact"/>
      <w:ind w:left="629"/>
    </w:pPr>
    <w:rPr>
      <w:rFonts w:ascii="宋体"/>
    </w:rPr>
  </w:style>
  <w:style w:type="paragraph" w:styleId="26">
    <w:name w:val="footnote text"/>
    <w:basedOn w:val="1"/>
    <w:next w:val="1"/>
    <w:link w:val="107"/>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7">
    <w:name w:val="toc 6"/>
    <w:basedOn w:val="1"/>
    <w:next w:val="1"/>
    <w:autoRedefine/>
    <w:unhideWhenUsed/>
    <w:qFormat/>
    <w:uiPriority w:val="39"/>
    <w:pPr>
      <w:spacing w:line="300" w:lineRule="exact"/>
      <w:ind w:left="1049"/>
    </w:pPr>
    <w:rPr>
      <w:rFonts w:ascii="宋体"/>
    </w:rPr>
  </w:style>
  <w:style w:type="paragraph" w:styleId="28">
    <w:name w:val="table of figures"/>
    <w:basedOn w:val="1"/>
    <w:next w:val="1"/>
    <w:autoRedefine/>
    <w:semiHidden/>
    <w:qFormat/>
    <w:uiPriority w:val="0"/>
    <w:pPr>
      <w:adjustRightInd/>
      <w:spacing w:line="240" w:lineRule="auto"/>
      <w:jc w:val="left"/>
    </w:pPr>
    <w:rPr>
      <w:szCs w:val="24"/>
    </w:rPr>
  </w:style>
  <w:style w:type="paragraph" w:styleId="29">
    <w:name w:val="toc 2"/>
    <w:basedOn w:val="1"/>
    <w:next w:val="1"/>
    <w:autoRedefine/>
    <w:unhideWhenUsed/>
    <w:qFormat/>
    <w:uiPriority w:val="39"/>
    <w:pPr>
      <w:tabs>
        <w:tab w:val="right" w:leader="dot" w:pos="9344"/>
      </w:tabs>
      <w:spacing w:line="300" w:lineRule="exact"/>
      <w:ind w:left="210"/>
    </w:pPr>
    <w:rPr>
      <w:rFonts w:ascii="宋体"/>
    </w:rPr>
  </w:style>
  <w:style w:type="paragraph" w:styleId="30">
    <w:name w:val="toc 9"/>
    <w:basedOn w:val="1"/>
    <w:next w:val="1"/>
    <w:autoRedefine/>
    <w:unhideWhenUsed/>
    <w:qFormat/>
    <w:uiPriority w:val="39"/>
    <w:pPr>
      <w:adjustRightInd/>
      <w:spacing w:line="240" w:lineRule="auto"/>
      <w:ind w:left="3360" w:leftChars="1600"/>
    </w:pPr>
    <w:rPr>
      <w:rFonts w:asciiTheme="minorHAnsi" w:hAnsiTheme="minorHAnsi" w:eastAsiaTheme="minorEastAsia" w:cstheme="minorBidi"/>
      <w:szCs w:val="22"/>
      <w14:ligatures w14:val="standardContextual"/>
    </w:rPr>
  </w:style>
  <w:style w:type="paragraph" w:styleId="31">
    <w:name w:val="Title"/>
    <w:basedOn w:val="1"/>
    <w:link w:val="56"/>
    <w:autoRedefine/>
    <w:qFormat/>
    <w:uiPriority w:val="0"/>
    <w:pPr>
      <w:spacing w:before="240" w:after="60"/>
      <w:jc w:val="center"/>
      <w:outlineLvl w:val="0"/>
    </w:pPr>
    <w:rPr>
      <w:rFonts w:ascii="Arial" w:hAnsi="Arial" w:cs="Arial"/>
      <w:b/>
      <w:bCs/>
      <w:sz w:val="32"/>
      <w:szCs w:val="32"/>
    </w:rPr>
  </w:style>
  <w:style w:type="paragraph" w:styleId="32">
    <w:name w:val="annotation subject"/>
    <w:basedOn w:val="14"/>
    <w:next w:val="14"/>
    <w:link w:val="247"/>
    <w:autoRedefine/>
    <w:semiHidden/>
    <w:unhideWhenUsed/>
    <w:qFormat/>
    <w:uiPriority w:val="99"/>
    <w:rPr>
      <w:b/>
      <w:bCs/>
    </w:rPr>
  </w:style>
  <w:style w:type="table" w:styleId="34">
    <w:name w:val="Table Grid"/>
    <w:basedOn w:val="3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autoRedefine/>
    <w:qFormat/>
    <w:uiPriority w:val="22"/>
    <w:rPr>
      <w:b/>
      <w:bCs/>
    </w:rPr>
  </w:style>
  <w:style w:type="character" w:styleId="37">
    <w:name w:val="page number"/>
    <w:autoRedefine/>
    <w:qFormat/>
    <w:uiPriority w:val="0"/>
    <w:rPr>
      <w:rFonts w:ascii="宋体" w:hAnsi="Times New Roman" w:eastAsia="宋体"/>
      <w:sz w:val="18"/>
    </w:rPr>
  </w:style>
  <w:style w:type="character" w:styleId="38">
    <w:name w:val="Emphasis"/>
    <w:autoRedefine/>
    <w:qFormat/>
    <w:uiPriority w:val="20"/>
    <w:rPr>
      <w:i/>
      <w:iCs/>
    </w:rPr>
  </w:style>
  <w:style w:type="character" w:styleId="39">
    <w:name w:val="Hyperlink"/>
    <w:autoRedefine/>
    <w:qFormat/>
    <w:uiPriority w:val="99"/>
    <w:rPr>
      <w:rFonts w:ascii="宋体" w:hAnsi="Times New Roman" w:eastAsia="宋体"/>
      <w:color w:val="auto"/>
      <w:spacing w:val="0"/>
      <w:w w:val="100"/>
      <w:position w:val="0"/>
      <w:sz w:val="21"/>
      <w:u w:val="none"/>
      <w:vertAlign w:val="baseline"/>
    </w:rPr>
  </w:style>
  <w:style w:type="character" w:styleId="40">
    <w:name w:val="annotation reference"/>
    <w:basedOn w:val="35"/>
    <w:autoRedefine/>
    <w:unhideWhenUsed/>
    <w:qFormat/>
    <w:uiPriority w:val="0"/>
    <w:rPr>
      <w:sz w:val="21"/>
      <w:szCs w:val="21"/>
    </w:rPr>
  </w:style>
  <w:style w:type="character" w:styleId="41">
    <w:name w:val="footnote reference"/>
    <w:autoRedefine/>
    <w:semiHidden/>
    <w:qFormat/>
    <w:uiPriority w:val="0"/>
    <w:rPr>
      <w:rFonts w:ascii="宋体" w:hAnsi="宋体" w:eastAsia="宋体" w:cs="Times New Roman"/>
      <w:spacing w:val="0"/>
      <w:sz w:val="18"/>
      <w:vertAlign w:val="superscript"/>
    </w:rPr>
  </w:style>
  <w:style w:type="character" w:customStyle="1" w:styleId="42">
    <w:name w:val="标题 2 字符"/>
    <w:link w:val="3"/>
    <w:autoRedefine/>
    <w:qFormat/>
    <w:uiPriority w:val="0"/>
    <w:rPr>
      <w:rFonts w:ascii="Arial" w:hAnsi="Arial" w:eastAsia="黑体"/>
      <w:b/>
      <w:bCs/>
      <w:kern w:val="2"/>
      <w:sz w:val="32"/>
      <w:szCs w:val="32"/>
    </w:rPr>
  </w:style>
  <w:style w:type="character" w:customStyle="1" w:styleId="43">
    <w:name w:val="标题 1 字符"/>
    <w:link w:val="2"/>
    <w:autoRedefine/>
    <w:qFormat/>
    <w:uiPriority w:val="0"/>
    <w:rPr>
      <w:b/>
      <w:bCs/>
      <w:kern w:val="44"/>
      <w:sz w:val="44"/>
      <w:szCs w:val="44"/>
    </w:rPr>
  </w:style>
  <w:style w:type="character" w:customStyle="1" w:styleId="44">
    <w:name w:val="标题 3 字符"/>
    <w:link w:val="4"/>
    <w:autoRedefine/>
    <w:qFormat/>
    <w:uiPriority w:val="0"/>
    <w:rPr>
      <w:b/>
      <w:bCs/>
      <w:kern w:val="2"/>
      <w:sz w:val="32"/>
      <w:szCs w:val="32"/>
    </w:rPr>
  </w:style>
  <w:style w:type="character" w:customStyle="1" w:styleId="45">
    <w:name w:val="标题 4 字符"/>
    <w:link w:val="5"/>
    <w:autoRedefine/>
    <w:qFormat/>
    <w:uiPriority w:val="0"/>
    <w:rPr>
      <w:rFonts w:ascii="Arial" w:hAnsi="Arial" w:eastAsia="黑体"/>
      <w:b/>
      <w:bCs/>
      <w:kern w:val="2"/>
      <w:sz w:val="28"/>
      <w:szCs w:val="28"/>
    </w:rPr>
  </w:style>
  <w:style w:type="character" w:customStyle="1" w:styleId="46">
    <w:name w:val="标题 5 字符"/>
    <w:link w:val="6"/>
    <w:autoRedefine/>
    <w:qFormat/>
    <w:uiPriority w:val="0"/>
    <w:rPr>
      <w:b/>
      <w:bCs/>
      <w:kern w:val="2"/>
      <w:sz w:val="28"/>
      <w:szCs w:val="28"/>
    </w:rPr>
  </w:style>
  <w:style w:type="character" w:customStyle="1" w:styleId="47">
    <w:name w:val="标题 6 字符"/>
    <w:link w:val="7"/>
    <w:autoRedefine/>
    <w:qFormat/>
    <w:uiPriority w:val="0"/>
    <w:rPr>
      <w:rFonts w:ascii="Arial" w:hAnsi="Arial" w:eastAsia="黑体"/>
      <w:b/>
      <w:bCs/>
      <w:kern w:val="2"/>
      <w:sz w:val="24"/>
      <w:szCs w:val="24"/>
    </w:rPr>
  </w:style>
  <w:style w:type="character" w:customStyle="1" w:styleId="48">
    <w:name w:val="标题 7 字符"/>
    <w:link w:val="8"/>
    <w:autoRedefine/>
    <w:qFormat/>
    <w:uiPriority w:val="0"/>
    <w:rPr>
      <w:b/>
      <w:bCs/>
      <w:kern w:val="2"/>
      <w:sz w:val="24"/>
      <w:szCs w:val="24"/>
    </w:rPr>
  </w:style>
  <w:style w:type="character" w:customStyle="1" w:styleId="49">
    <w:name w:val="标题 8 字符"/>
    <w:link w:val="9"/>
    <w:autoRedefine/>
    <w:qFormat/>
    <w:uiPriority w:val="0"/>
    <w:rPr>
      <w:rFonts w:ascii="Arial" w:hAnsi="Arial" w:eastAsia="黑体"/>
      <w:kern w:val="2"/>
      <w:sz w:val="24"/>
      <w:szCs w:val="24"/>
    </w:rPr>
  </w:style>
  <w:style w:type="character" w:customStyle="1" w:styleId="50">
    <w:name w:val="标题 9 字符"/>
    <w:link w:val="10"/>
    <w:autoRedefine/>
    <w:qFormat/>
    <w:uiPriority w:val="0"/>
    <w:rPr>
      <w:rFonts w:ascii="Arial" w:hAnsi="Arial" w:eastAsia="黑体"/>
      <w:kern w:val="2"/>
      <w:sz w:val="21"/>
      <w:szCs w:val="21"/>
    </w:rPr>
  </w:style>
  <w:style w:type="character" w:customStyle="1" w:styleId="51">
    <w:name w:val="页眉 字符"/>
    <w:link w:val="23"/>
    <w:autoRedefine/>
    <w:qFormat/>
    <w:uiPriority w:val="99"/>
    <w:rPr>
      <w:rFonts w:ascii="黑体" w:hAnsi="黑体" w:eastAsia="黑体"/>
      <w:kern w:val="2"/>
      <w:sz w:val="21"/>
      <w:szCs w:val="21"/>
    </w:rPr>
  </w:style>
  <w:style w:type="character" w:customStyle="1" w:styleId="52">
    <w:name w:val="页脚 字符"/>
    <w:link w:val="22"/>
    <w:autoRedefine/>
    <w:qFormat/>
    <w:uiPriority w:val="99"/>
    <w:rPr>
      <w:rFonts w:ascii="宋体" w:hAnsi="宋体" w:eastAsia="Calibri"/>
      <w:kern w:val="2"/>
      <w:sz w:val="18"/>
      <w:szCs w:val="18"/>
    </w:rPr>
  </w:style>
  <w:style w:type="character" w:customStyle="1" w:styleId="53">
    <w:name w:val="批注框文本 字符"/>
    <w:link w:val="21"/>
    <w:autoRedefine/>
    <w:semiHidden/>
    <w:qFormat/>
    <w:uiPriority w:val="99"/>
    <w:rPr>
      <w:kern w:val="2"/>
      <w:sz w:val="18"/>
      <w:szCs w:val="18"/>
    </w:rPr>
  </w:style>
  <w:style w:type="paragraph" w:styleId="54">
    <w:name w:val="Quote"/>
    <w:basedOn w:val="1"/>
    <w:next w:val="1"/>
    <w:link w:val="55"/>
    <w:autoRedefine/>
    <w:qFormat/>
    <w:uiPriority w:val="29"/>
    <w:rPr>
      <w:i/>
      <w:iCs/>
      <w:color w:val="000000"/>
    </w:rPr>
  </w:style>
  <w:style w:type="character" w:customStyle="1" w:styleId="55">
    <w:name w:val="引用 字符"/>
    <w:link w:val="54"/>
    <w:autoRedefine/>
    <w:qFormat/>
    <w:uiPriority w:val="29"/>
    <w:rPr>
      <w:i/>
      <w:iCs/>
      <w:color w:val="000000"/>
      <w:kern w:val="2"/>
      <w:sz w:val="21"/>
      <w:szCs w:val="21"/>
    </w:rPr>
  </w:style>
  <w:style w:type="character" w:customStyle="1" w:styleId="56">
    <w:name w:val="标题 字符"/>
    <w:link w:val="31"/>
    <w:autoRedefine/>
    <w:qFormat/>
    <w:uiPriority w:val="0"/>
    <w:rPr>
      <w:rFonts w:ascii="Arial" w:hAnsi="Arial" w:cs="Arial"/>
      <w:b/>
      <w:bCs/>
      <w:kern w:val="2"/>
      <w:sz w:val="32"/>
      <w:szCs w:val="32"/>
    </w:rPr>
  </w:style>
  <w:style w:type="paragraph" w:customStyle="1" w:styleId="57">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8">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9">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60">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61">
    <w:name w:val="标准书眉一"/>
    <w:autoRedefine/>
    <w:qFormat/>
    <w:uiPriority w:val="0"/>
    <w:pPr>
      <w:jc w:val="both"/>
    </w:pPr>
    <w:rPr>
      <w:rFonts w:ascii="Times New Roman" w:hAnsi="Times New Roman" w:eastAsia="宋体" w:cs="Times New Roman"/>
      <w:lang w:val="en-US" w:eastAsia="zh-CN" w:bidi="ar-SA"/>
    </w:rPr>
  </w:style>
  <w:style w:type="paragraph" w:customStyle="1" w:styleId="62">
    <w:name w:val="标准文件_ICS"/>
    <w:basedOn w:val="1"/>
    <w:autoRedefine/>
    <w:qFormat/>
    <w:uiPriority w:val="0"/>
    <w:pPr>
      <w:spacing w:line="0" w:lineRule="atLeast"/>
    </w:pPr>
    <w:rPr>
      <w:rFonts w:ascii="黑体" w:hAnsi="宋体" w:eastAsia="黑体"/>
    </w:rPr>
  </w:style>
  <w:style w:type="paragraph" w:customStyle="1" w:styleId="63">
    <w:name w:val="标准文件_标准正文"/>
    <w:basedOn w:val="1"/>
    <w:next w:val="64"/>
    <w:link w:val="256"/>
    <w:autoRedefine/>
    <w:qFormat/>
    <w:uiPriority w:val="0"/>
    <w:pPr>
      <w:snapToGrid w:val="0"/>
      <w:ind w:firstLine="200" w:firstLineChars="200"/>
    </w:pPr>
    <w:rPr>
      <w:kern w:val="0"/>
    </w:rPr>
  </w:style>
  <w:style w:type="paragraph" w:customStyle="1" w:styleId="64">
    <w:name w:val="标准文件_段"/>
    <w:link w:val="192"/>
    <w:autoRedefine/>
    <w:qFormat/>
    <w:uiPriority w:val="0"/>
    <w:pPr>
      <w:autoSpaceDE w:val="0"/>
      <w:autoSpaceDN w:val="0"/>
      <w:jc w:val="both"/>
    </w:pPr>
    <w:rPr>
      <w:rFonts w:ascii="宋体" w:hAnsi="Times New Roman" w:eastAsia="宋体" w:cs="Times New Roman"/>
      <w:sz w:val="21"/>
      <w:lang w:val="en-US" w:eastAsia="zh-CN" w:bidi="ar-SA"/>
    </w:rPr>
  </w:style>
  <w:style w:type="paragraph" w:customStyle="1" w:styleId="65">
    <w:name w:val="标准文件_版本"/>
    <w:basedOn w:val="63"/>
    <w:autoRedefine/>
    <w:qFormat/>
    <w:uiPriority w:val="0"/>
    <w:pPr>
      <w:adjustRightInd/>
      <w:snapToGrid/>
      <w:ind w:firstLine="0" w:firstLineChars="0"/>
    </w:pPr>
    <w:rPr>
      <w:rFonts w:ascii="宋体" w:hAnsi="宋体"/>
      <w:kern w:val="2"/>
    </w:rPr>
  </w:style>
  <w:style w:type="paragraph" w:customStyle="1" w:styleId="66">
    <w:name w:val="标准文件_标准部门"/>
    <w:basedOn w:val="1"/>
    <w:autoRedefine/>
    <w:qFormat/>
    <w:uiPriority w:val="0"/>
    <w:pPr>
      <w:jc w:val="center"/>
    </w:pPr>
    <w:rPr>
      <w:rFonts w:ascii="黑体" w:eastAsia="黑体"/>
      <w:kern w:val="0"/>
      <w:sz w:val="44"/>
    </w:rPr>
  </w:style>
  <w:style w:type="paragraph" w:customStyle="1" w:styleId="67">
    <w:name w:val="标准文件_标准代替"/>
    <w:basedOn w:val="1"/>
    <w:next w:val="1"/>
    <w:autoRedefine/>
    <w:qFormat/>
    <w:uiPriority w:val="0"/>
    <w:pPr>
      <w:spacing w:line="310" w:lineRule="exact"/>
      <w:jc w:val="right"/>
    </w:pPr>
    <w:rPr>
      <w:rFonts w:ascii="宋体" w:hAnsi="宋体"/>
      <w:kern w:val="0"/>
    </w:rPr>
  </w:style>
  <w:style w:type="paragraph" w:customStyle="1" w:styleId="68">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9">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0">
    <w:name w:val="标准文件_页眉偶数页"/>
    <w:basedOn w:val="69"/>
    <w:next w:val="1"/>
    <w:autoRedefine/>
    <w:qFormat/>
    <w:uiPriority w:val="0"/>
    <w:pPr>
      <w:jc w:val="left"/>
    </w:pPr>
  </w:style>
  <w:style w:type="paragraph" w:customStyle="1" w:styleId="71">
    <w:name w:val="标准文件_参考文献标题"/>
    <w:basedOn w:val="1"/>
    <w:next w:val="1"/>
    <w:autoRedefine/>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72">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73">
    <w:name w:val="标准文件_二级条标题"/>
    <w:next w:val="64"/>
    <w:autoRedefine/>
    <w:qFormat/>
    <w:uiPriority w:val="0"/>
    <w:pPr>
      <w:widowControl w:val="0"/>
      <w:jc w:val="both"/>
      <w:outlineLvl w:val="2"/>
    </w:pPr>
    <w:rPr>
      <w:rFonts w:ascii="黑体" w:hAnsi="Times New Roman" w:eastAsia="黑体" w:cs="Times New Roman"/>
      <w:sz w:val="21"/>
      <w:lang w:val="en-US" w:eastAsia="zh-CN" w:bidi="ar-SA"/>
    </w:rPr>
  </w:style>
  <w:style w:type="character" w:customStyle="1" w:styleId="74">
    <w:name w:val="标准文件_发布"/>
    <w:autoRedefine/>
    <w:qFormat/>
    <w:uiPriority w:val="0"/>
    <w:rPr>
      <w:rFonts w:ascii="黑体" w:eastAsia="黑体"/>
      <w:spacing w:val="0"/>
      <w:w w:val="100"/>
      <w:position w:val="3"/>
      <w:sz w:val="28"/>
    </w:rPr>
  </w:style>
  <w:style w:type="paragraph" w:customStyle="1" w:styleId="75">
    <w:name w:val="标准文件_方框数字列项"/>
    <w:basedOn w:val="64"/>
    <w:autoRedefine/>
    <w:qFormat/>
    <w:uiPriority w:val="0"/>
    <w:pPr>
      <w:numPr>
        <w:ilvl w:val="0"/>
        <w:numId w:val="2"/>
      </w:numPr>
      <w:ind w:firstLine="0"/>
    </w:pPr>
  </w:style>
  <w:style w:type="paragraph" w:customStyle="1" w:styleId="76">
    <w:name w:val="标准文件_封面标准编号"/>
    <w:basedOn w:val="1"/>
    <w:next w:val="67"/>
    <w:autoRedefine/>
    <w:qFormat/>
    <w:uiPriority w:val="0"/>
    <w:pPr>
      <w:spacing w:line="310" w:lineRule="exact"/>
      <w:jc w:val="right"/>
    </w:pPr>
    <w:rPr>
      <w:rFonts w:ascii="黑体" w:eastAsia="黑体"/>
      <w:kern w:val="0"/>
      <w:sz w:val="28"/>
    </w:rPr>
  </w:style>
  <w:style w:type="paragraph" w:customStyle="1" w:styleId="77">
    <w:name w:val="标准文件_封面标准分类号"/>
    <w:basedOn w:val="1"/>
    <w:autoRedefine/>
    <w:qFormat/>
    <w:uiPriority w:val="0"/>
    <w:rPr>
      <w:rFonts w:ascii="黑体" w:eastAsia="黑体"/>
      <w:b/>
      <w:kern w:val="0"/>
      <w:sz w:val="28"/>
    </w:rPr>
  </w:style>
  <w:style w:type="paragraph" w:customStyle="1" w:styleId="78">
    <w:name w:val="标准文件_封面标准名称"/>
    <w:basedOn w:val="1"/>
    <w:autoRedefine/>
    <w:qFormat/>
    <w:uiPriority w:val="0"/>
    <w:pPr>
      <w:spacing w:line="240" w:lineRule="auto"/>
      <w:jc w:val="center"/>
    </w:pPr>
    <w:rPr>
      <w:rFonts w:ascii="黑体" w:eastAsia="黑体"/>
      <w:kern w:val="0"/>
      <w:sz w:val="52"/>
    </w:rPr>
  </w:style>
  <w:style w:type="paragraph" w:customStyle="1" w:styleId="79">
    <w:name w:val="标准文件_封面标准英文名称"/>
    <w:basedOn w:val="1"/>
    <w:autoRedefine/>
    <w:qFormat/>
    <w:uiPriority w:val="0"/>
    <w:pPr>
      <w:spacing w:line="240" w:lineRule="auto"/>
      <w:jc w:val="center"/>
    </w:pPr>
    <w:rPr>
      <w:rFonts w:ascii="黑体" w:eastAsia="黑体"/>
      <w:b/>
      <w:sz w:val="28"/>
    </w:rPr>
  </w:style>
  <w:style w:type="paragraph" w:customStyle="1" w:styleId="80">
    <w:name w:val="标准文件_封面发布日期"/>
    <w:basedOn w:val="1"/>
    <w:autoRedefine/>
    <w:qFormat/>
    <w:uiPriority w:val="0"/>
    <w:pPr>
      <w:spacing w:line="310" w:lineRule="exact"/>
    </w:pPr>
    <w:rPr>
      <w:rFonts w:ascii="黑体" w:eastAsia="黑体"/>
      <w:kern w:val="0"/>
      <w:sz w:val="28"/>
    </w:rPr>
  </w:style>
  <w:style w:type="paragraph" w:customStyle="1" w:styleId="81">
    <w:name w:val="标准文件_封面密级"/>
    <w:basedOn w:val="1"/>
    <w:autoRedefine/>
    <w:qFormat/>
    <w:uiPriority w:val="0"/>
    <w:rPr>
      <w:rFonts w:eastAsia="黑体"/>
      <w:sz w:val="32"/>
    </w:rPr>
  </w:style>
  <w:style w:type="paragraph" w:customStyle="1" w:styleId="82">
    <w:name w:val="标准文件_封面实施日期"/>
    <w:basedOn w:val="1"/>
    <w:autoRedefine/>
    <w:qFormat/>
    <w:uiPriority w:val="0"/>
    <w:pPr>
      <w:spacing w:line="310" w:lineRule="exact"/>
      <w:jc w:val="right"/>
    </w:pPr>
    <w:rPr>
      <w:rFonts w:ascii="黑体" w:eastAsia="黑体"/>
      <w:sz w:val="28"/>
    </w:rPr>
  </w:style>
  <w:style w:type="paragraph" w:customStyle="1" w:styleId="83">
    <w:name w:val="标准文件_封面抬头"/>
    <w:basedOn w:val="64"/>
    <w:autoRedefine/>
    <w:qFormat/>
    <w:uiPriority w:val="0"/>
    <w:pPr>
      <w:adjustRightInd w:val="0"/>
      <w:spacing w:line="800" w:lineRule="exact"/>
      <w:jc w:val="distribute"/>
    </w:pPr>
    <w:rPr>
      <w:rFonts w:ascii="黑体" w:eastAsia="黑体"/>
      <w:b/>
      <w:sz w:val="64"/>
    </w:rPr>
  </w:style>
  <w:style w:type="paragraph" w:customStyle="1" w:styleId="84">
    <w:name w:val="标准文件_附录标识"/>
    <w:next w:val="64"/>
    <w:autoRedefine/>
    <w:qFormat/>
    <w:uiPriority w:val="0"/>
    <w:p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5">
    <w:name w:val="标准文件_附录表标题"/>
    <w:next w:val="64"/>
    <w:autoRedefine/>
    <w:qFormat/>
    <w:uiPriority w:val="0"/>
    <w:pPr>
      <w:numPr>
        <w:ilvl w:val="1"/>
        <w:numId w:val="3"/>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6">
    <w:name w:val="标准文件_附录一级条标题"/>
    <w:next w:val="64"/>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7">
    <w:name w:val="标准文件_附录二级条标题"/>
    <w:basedOn w:val="86"/>
    <w:next w:val="64"/>
    <w:link w:val="257"/>
    <w:autoRedefine/>
    <w:qFormat/>
    <w:uiPriority w:val="0"/>
    <w:pPr>
      <w:widowControl/>
      <w:numPr>
        <w:ilvl w:val="2"/>
      </w:numPr>
      <w:wordWrap w:val="0"/>
      <w:overflowPunct w:val="0"/>
      <w:autoSpaceDE w:val="0"/>
      <w:autoSpaceDN w:val="0"/>
      <w:textAlignment w:val="baseline"/>
      <w:outlineLvl w:val="3"/>
    </w:pPr>
  </w:style>
  <w:style w:type="paragraph" w:customStyle="1" w:styleId="88">
    <w:name w:val="标准文件_附录公式"/>
    <w:basedOn w:val="63"/>
    <w:next w:val="63"/>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9">
    <w:name w:val="标准文件_附录三级条标题"/>
    <w:next w:val="64"/>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0">
    <w:name w:val="标准文件_附录四级条标题"/>
    <w:next w:val="64"/>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1">
    <w:name w:val="标准文件_附录图标题"/>
    <w:next w:val="64"/>
    <w:link w:val="258"/>
    <w:autoRedefine/>
    <w:qFormat/>
    <w:uiPriority w:val="0"/>
    <w:pPr>
      <w:numPr>
        <w:ilvl w:val="1"/>
        <w:numId w:val="5"/>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2">
    <w:name w:val="标准文件_附录五级条标题"/>
    <w:next w:val="64"/>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93">
    <w:name w:val="标准文件_附录英文标识"/>
    <w:next w:val="15"/>
    <w:autoRedefine/>
    <w:qFormat/>
    <w:uiPriority w:val="0"/>
    <w:pPr>
      <w:numPr>
        <w:ilvl w:val="0"/>
        <w:numId w:val="6"/>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4">
    <w:name w:val="正文文本 字符"/>
    <w:link w:val="15"/>
    <w:autoRedefine/>
    <w:qFormat/>
    <w:uiPriority w:val="0"/>
    <w:rPr>
      <w:rFonts w:ascii="Calibri" w:hAnsi="Calibri"/>
      <w:kern w:val="2"/>
      <w:sz w:val="21"/>
      <w:szCs w:val="21"/>
    </w:rPr>
  </w:style>
  <w:style w:type="paragraph" w:customStyle="1" w:styleId="95">
    <w:name w:val="标准文件_附录章标题"/>
    <w:next w:val="64"/>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6">
    <w:name w:val="标准文件_公式后的破折号"/>
    <w:basedOn w:val="64"/>
    <w:next w:val="64"/>
    <w:autoRedefine/>
    <w:qFormat/>
    <w:uiPriority w:val="0"/>
    <w:pPr>
      <w:ind w:left="488" w:leftChars="200" w:hanging="289" w:hangingChars="290"/>
    </w:pPr>
  </w:style>
  <w:style w:type="paragraph" w:customStyle="1" w:styleId="97">
    <w:name w:val="标准文件_前言、引言标题"/>
    <w:next w:val="1"/>
    <w:autoRedefine/>
    <w:qFormat/>
    <w:uiPriority w:val="0"/>
    <w:pPr>
      <w:numPr>
        <w:ilvl w:val="0"/>
        <w:numId w:val="7"/>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8">
    <w:name w:val="标准文件_目次、标准名称标题"/>
    <w:basedOn w:val="97"/>
    <w:next w:val="64"/>
    <w:autoRedefine/>
    <w:qFormat/>
    <w:uiPriority w:val="0"/>
    <w:pPr>
      <w:spacing w:line="460" w:lineRule="exact"/>
      <w:ind w:left="0" w:firstLine="0"/>
    </w:pPr>
  </w:style>
  <w:style w:type="paragraph" w:customStyle="1" w:styleId="99">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100">
    <w:name w:val="标准文件_破折号列项"/>
    <w:link w:val="259"/>
    <w:autoRedefine/>
    <w:qFormat/>
    <w:uiPriority w:val="0"/>
    <w:pPr>
      <w:numPr>
        <w:ilvl w:val="0"/>
        <w:numId w:val="8"/>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01">
    <w:name w:val="标准文件_破折号列项（二级）"/>
    <w:basedOn w:val="100"/>
    <w:autoRedefine/>
    <w:qFormat/>
    <w:uiPriority w:val="0"/>
    <w:pPr>
      <w:numPr>
        <w:numId w:val="9"/>
      </w:numPr>
    </w:pPr>
  </w:style>
  <w:style w:type="paragraph" w:customStyle="1" w:styleId="102">
    <w:name w:val="标准文件_三级条标题"/>
    <w:basedOn w:val="73"/>
    <w:next w:val="64"/>
    <w:autoRedefine/>
    <w:qFormat/>
    <w:uiPriority w:val="0"/>
    <w:pPr>
      <w:widowControl/>
      <w:outlineLvl w:val="3"/>
    </w:pPr>
  </w:style>
  <w:style w:type="character" w:customStyle="1" w:styleId="103">
    <w:name w:val="不明显参考1"/>
    <w:autoRedefine/>
    <w:qFormat/>
    <w:uiPriority w:val="31"/>
    <w:rPr>
      <w:smallCaps/>
      <w:color w:val="C0504D"/>
      <w:u w:val="single"/>
    </w:rPr>
  </w:style>
  <w:style w:type="paragraph" w:customStyle="1" w:styleId="104">
    <w:name w:val="标准文件_示例后续"/>
    <w:basedOn w:val="1"/>
    <w:autoRedefine/>
    <w:qFormat/>
    <w:uiPriority w:val="0"/>
    <w:pPr>
      <w:adjustRightInd/>
      <w:spacing w:line="240" w:lineRule="auto"/>
      <w:ind w:firstLine="200" w:firstLineChars="200"/>
    </w:pPr>
    <w:rPr>
      <w:sz w:val="18"/>
      <w:szCs w:val="24"/>
    </w:rPr>
  </w:style>
  <w:style w:type="paragraph" w:customStyle="1" w:styleId="105">
    <w:name w:val="标准文件_数字编号列项"/>
    <w:autoRedefine/>
    <w:qFormat/>
    <w:uiPriority w:val="0"/>
    <w:pPr>
      <w:numPr>
        <w:ilvl w:val="0"/>
        <w:numId w:val="10"/>
      </w:numPr>
      <w:jc w:val="both"/>
    </w:pPr>
    <w:rPr>
      <w:rFonts w:ascii="宋体" w:hAnsi="宋体" w:eastAsia="宋体" w:cs="Times New Roman"/>
      <w:sz w:val="21"/>
      <w:lang w:val="en-US" w:eastAsia="zh-CN" w:bidi="ar-SA"/>
    </w:rPr>
  </w:style>
  <w:style w:type="paragraph" w:customStyle="1" w:styleId="106">
    <w:name w:val="标准文件_四级条标题"/>
    <w:next w:val="64"/>
    <w:autoRedefine/>
    <w:qFormat/>
    <w:uiPriority w:val="0"/>
    <w:pPr>
      <w:widowControl w:val="0"/>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7">
    <w:name w:val="脚注文本 字符"/>
    <w:link w:val="26"/>
    <w:autoRedefine/>
    <w:semiHidden/>
    <w:qFormat/>
    <w:uiPriority w:val="0"/>
    <w:rPr>
      <w:rFonts w:ascii="宋体"/>
      <w:kern w:val="2"/>
      <w:sz w:val="18"/>
      <w:szCs w:val="18"/>
    </w:rPr>
  </w:style>
  <w:style w:type="paragraph" w:customStyle="1" w:styleId="108">
    <w:name w:val="标准文件_条文脚注"/>
    <w:basedOn w:val="26"/>
    <w:autoRedefine/>
    <w:qFormat/>
    <w:uiPriority w:val="0"/>
    <w:pPr>
      <w:adjustRightInd w:val="0"/>
      <w:spacing w:line="240" w:lineRule="auto"/>
      <w:ind w:left="0" w:leftChars="0" w:firstLine="200" w:firstLineChars="200"/>
      <w:jc w:val="both"/>
    </w:pPr>
    <w:rPr>
      <w:rFonts w:hAnsi="宋体"/>
    </w:rPr>
  </w:style>
  <w:style w:type="paragraph" w:customStyle="1" w:styleId="109">
    <w:name w:val="标准文件_图表脚注"/>
    <w:basedOn w:val="1"/>
    <w:next w:val="64"/>
    <w:autoRedefine/>
    <w:qFormat/>
    <w:uiPriority w:val="0"/>
    <w:pPr>
      <w:numPr>
        <w:ilvl w:val="0"/>
        <w:numId w:val="11"/>
      </w:numPr>
      <w:spacing w:line="240" w:lineRule="auto"/>
      <w:jc w:val="left"/>
    </w:pPr>
    <w:rPr>
      <w:rFonts w:ascii="宋体" w:hAnsi="宋体"/>
      <w:sz w:val="18"/>
    </w:rPr>
  </w:style>
  <w:style w:type="character" w:customStyle="1" w:styleId="110">
    <w:name w:val="标准文件_图表脚注内容"/>
    <w:autoRedefine/>
    <w:qFormat/>
    <w:uiPriority w:val="0"/>
    <w:rPr>
      <w:rFonts w:ascii="宋体" w:hAnsi="宋体" w:eastAsia="宋体" w:cs="Times New Roman"/>
      <w:spacing w:val="0"/>
      <w:sz w:val="18"/>
      <w:vertAlign w:val="superscript"/>
    </w:rPr>
  </w:style>
  <w:style w:type="paragraph" w:customStyle="1" w:styleId="111">
    <w:name w:val="标准文件_五级条标题"/>
    <w:next w:val="64"/>
    <w:autoRedefine/>
    <w:qFormat/>
    <w:uiPriority w:val="0"/>
    <w:pPr>
      <w:widowControl w:val="0"/>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12">
    <w:name w:val="标准文件_章标题"/>
    <w:next w:val="64"/>
    <w:autoRedefine/>
    <w:qFormat/>
    <w:uiPriority w:val="0"/>
    <w:p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13">
    <w:name w:val="标准文件_一级条标题"/>
    <w:basedOn w:val="112"/>
    <w:next w:val="64"/>
    <w:link w:val="260"/>
    <w:autoRedefine/>
    <w:qFormat/>
    <w:uiPriority w:val="0"/>
    <w:pPr>
      <w:spacing w:before="156" w:beforeLines="50" w:after="156" w:afterLines="50"/>
      <w:outlineLvl w:val="1"/>
    </w:pPr>
  </w:style>
  <w:style w:type="paragraph" w:customStyle="1" w:styleId="114">
    <w:name w:val="标准文件_一致程度"/>
    <w:basedOn w:val="1"/>
    <w:autoRedefine/>
    <w:qFormat/>
    <w:uiPriority w:val="0"/>
    <w:pPr>
      <w:spacing w:line="440" w:lineRule="exact"/>
      <w:jc w:val="center"/>
    </w:pPr>
    <w:rPr>
      <w:sz w:val="28"/>
    </w:rPr>
  </w:style>
  <w:style w:type="paragraph" w:customStyle="1" w:styleId="115">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6">
    <w:name w:val="标准文件_英文图表脚注"/>
    <w:basedOn w:val="63"/>
    <w:autoRedefine/>
    <w:qFormat/>
    <w:uiPriority w:val="0"/>
    <w:pPr>
      <w:widowControl/>
      <w:adjustRightInd/>
      <w:snapToGrid/>
      <w:spacing w:line="240" w:lineRule="auto"/>
      <w:ind w:left="79" w:hanging="79" w:hangingChars="80"/>
    </w:pPr>
    <w:rPr>
      <w:rFonts w:ascii="宋体" w:hAnsi="宋体"/>
    </w:rPr>
  </w:style>
  <w:style w:type="paragraph" w:customStyle="1" w:styleId="117">
    <w:name w:val="标准文件_数字编号列项（二级）"/>
    <w:autoRedefine/>
    <w:qFormat/>
    <w:uiPriority w:val="0"/>
    <w:pPr>
      <w:numPr>
        <w:ilvl w:val="1"/>
        <w:numId w:val="12"/>
      </w:numPr>
      <w:tabs>
        <w:tab w:val="left" w:pos="851"/>
      </w:tabs>
      <w:jc w:val="both"/>
    </w:pPr>
    <w:rPr>
      <w:rFonts w:ascii="宋体" w:hAnsi="Times New Roman" w:eastAsia="宋体" w:cs="Times New Roman"/>
      <w:sz w:val="21"/>
      <w:lang w:val="en-US" w:eastAsia="zh-CN" w:bidi="ar-SA"/>
    </w:rPr>
  </w:style>
  <w:style w:type="paragraph" w:customStyle="1" w:styleId="118">
    <w:name w:val="标准文件_英文注："/>
    <w:basedOn w:val="1"/>
    <w:next w:val="64"/>
    <w:autoRedefine/>
    <w:qFormat/>
    <w:uiPriority w:val="0"/>
    <w:pPr>
      <w:numPr>
        <w:ilvl w:val="0"/>
        <w:numId w:val="13"/>
      </w:numPr>
      <w:tabs>
        <w:tab w:val="left" w:pos="420"/>
      </w:tabs>
      <w:autoSpaceDE w:val="0"/>
      <w:autoSpaceDN w:val="0"/>
      <w:spacing w:line="240" w:lineRule="auto"/>
    </w:pPr>
    <w:rPr>
      <w:rFonts w:ascii="宋体" w:hAnsi="宋体"/>
      <w:kern w:val="0"/>
      <w:sz w:val="18"/>
      <w:szCs w:val="20"/>
    </w:rPr>
  </w:style>
  <w:style w:type="paragraph" w:customStyle="1" w:styleId="119">
    <w:name w:val="标准文件_英文注×："/>
    <w:basedOn w:val="1"/>
    <w:autoRedefine/>
    <w:qFormat/>
    <w:uiPriority w:val="0"/>
    <w:pPr>
      <w:numPr>
        <w:ilvl w:val="0"/>
        <w:numId w:val="14"/>
      </w:numPr>
      <w:tabs>
        <w:tab w:val="left" w:pos="210"/>
      </w:tabs>
      <w:autoSpaceDE w:val="0"/>
      <w:autoSpaceDN w:val="0"/>
      <w:spacing w:line="240" w:lineRule="auto"/>
    </w:pPr>
    <w:rPr>
      <w:rFonts w:ascii="宋体" w:hAnsi="宋体"/>
      <w:kern w:val="0"/>
      <w:szCs w:val="20"/>
    </w:rPr>
  </w:style>
  <w:style w:type="paragraph" w:customStyle="1" w:styleId="120">
    <w:name w:val="标准文件_正文表标题"/>
    <w:next w:val="64"/>
    <w:autoRedefine/>
    <w:qFormat/>
    <w:uiPriority w:val="0"/>
    <w:pPr>
      <w:numPr>
        <w:ilvl w:val="0"/>
        <w:numId w:val="15"/>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21">
    <w:name w:val="标准文件_正文公式"/>
    <w:basedOn w:val="1"/>
    <w:next w:val="63"/>
    <w:autoRedefine/>
    <w:qFormat/>
    <w:uiPriority w:val="0"/>
    <w:pPr>
      <w:tabs>
        <w:tab w:val="center" w:pos="4678"/>
        <w:tab w:val="right" w:leader="middleDot" w:pos="9356"/>
      </w:tabs>
      <w:spacing w:line="240" w:lineRule="auto"/>
    </w:pPr>
    <w:rPr>
      <w:rFonts w:ascii="宋体" w:hAnsi="宋体"/>
    </w:rPr>
  </w:style>
  <w:style w:type="paragraph" w:customStyle="1" w:styleId="122">
    <w:name w:val="标准文件_正文图标题"/>
    <w:next w:val="64"/>
    <w:autoRedefine/>
    <w:qFormat/>
    <w:uiPriority w:val="0"/>
    <w:pPr>
      <w:numPr>
        <w:ilvl w:val="0"/>
        <w:numId w:val="16"/>
      </w:numPr>
      <w:spacing w:before="50" w:beforeLines="50" w:after="50" w:afterLines="50"/>
      <w:jc w:val="center"/>
    </w:pPr>
    <w:rPr>
      <w:rFonts w:ascii="黑体" w:hAnsi="Times New Roman" w:eastAsia="黑体" w:cs="Times New Roman"/>
      <w:sz w:val="21"/>
      <w:lang w:val="en-US" w:eastAsia="zh-CN" w:bidi="ar-SA"/>
    </w:rPr>
  </w:style>
  <w:style w:type="paragraph" w:customStyle="1" w:styleId="123">
    <w:name w:val="标准文件_正文英文表标题"/>
    <w:next w:val="64"/>
    <w:autoRedefine/>
    <w:qFormat/>
    <w:uiPriority w:val="0"/>
    <w:pPr>
      <w:numPr>
        <w:ilvl w:val="0"/>
        <w:numId w:val="17"/>
      </w:numPr>
      <w:jc w:val="center"/>
    </w:pPr>
    <w:rPr>
      <w:rFonts w:ascii="黑体" w:hAnsi="Times New Roman" w:eastAsia="黑体" w:cs="Times New Roman"/>
      <w:sz w:val="21"/>
      <w:lang w:val="en-US" w:eastAsia="zh-CN" w:bidi="ar-SA"/>
    </w:rPr>
  </w:style>
  <w:style w:type="paragraph" w:customStyle="1" w:styleId="124">
    <w:name w:val="标准文件_正文英文图标题"/>
    <w:next w:val="64"/>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5">
    <w:name w:val="标准文件_编号列项（三级）"/>
    <w:link w:val="261"/>
    <w:autoRedefine/>
    <w:qFormat/>
    <w:uiPriority w:val="0"/>
    <w:pPr>
      <w:numPr>
        <w:ilvl w:val="2"/>
        <w:numId w:val="12"/>
      </w:numPr>
      <w:tabs>
        <w:tab w:val="left" w:pos="851"/>
      </w:tabs>
    </w:pPr>
    <w:rPr>
      <w:rFonts w:ascii="宋体" w:hAnsi="Times New Roman" w:eastAsia="宋体" w:cs="Times New Roman"/>
      <w:sz w:val="21"/>
      <w:lang w:val="en-US" w:eastAsia="zh-CN" w:bidi="ar-SA"/>
    </w:rPr>
  </w:style>
  <w:style w:type="paragraph" w:customStyle="1" w:styleId="126">
    <w:name w:val="二级无标题条"/>
    <w:basedOn w:val="1"/>
    <w:autoRedefine/>
    <w:qFormat/>
    <w:uiPriority w:val="0"/>
    <w:pPr>
      <w:numPr>
        <w:ilvl w:val="3"/>
        <w:numId w:val="19"/>
      </w:numPr>
      <w:adjustRightInd/>
      <w:spacing w:line="240" w:lineRule="auto"/>
    </w:pPr>
    <w:rPr>
      <w:rFonts w:ascii="宋体" w:hAnsi="宋体"/>
      <w:szCs w:val="24"/>
    </w:rPr>
  </w:style>
  <w:style w:type="paragraph" w:customStyle="1" w:styleId="127">
    <w:name w:val="发布部门"/>
    <w:next w:val="64"/>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8">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9">
    <w:name w:val="封面标准代替信息"/>
    <w:basedOn w:val="1"/>
    <w:autoRedefine/>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0">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1">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2">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3">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4">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5">
    <w:name w:val="封面正文"/>
    <w:autoRedefine/>
    <w:qFormat/>
    <w:uiPriority w:val="0"/>
    <w:pPr>
      <w:jc w:val="both"/>
    </w:pPr>
    <w:rPr>
      <w:rFonts w:ascii="Times New Roman" w:hAnsi="Times New Roman" w:eastAsia="宋体" w:cs="Times New Roman"/>
      <w:lang w:val="en-US" w:eastAsia="zh-CN" w:bidi="ar-SA"/>
    </w:rPr>
  </w:style>
  <w:style w:type="paragraph" w:customStyle="1" w:styleId="136">
    <w:name w:val="附录二级无标题条"/>
    <w:basedOn w:val="1"/>
    <w:next w:val="64"/>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7">
    <w:name w:val="附录三级无标题条"/>
    <w:basedOn w:val="136"/>
    <w:next w:val="64"/>
    <w:autoRedefine/>
    <w:qFormat/>
    <w:uiPriority w:val="0"/>
    <w:pPr>
      <w:outlineLvl w:val="4"/>
    </w:pPr>
  </w:style>
  <w:style w:type="paragraph" w:customStyle="1" w:styleId="138">
    <w:name w:val="附录四级无标题条"/>
    <w:basedOn w:val="137"/>
    <w:next w:val="64"/>
    <w:autoRedefine/>
    <w:qFormat/>
    <w:uiPriority w:val="0"/>
    <w:pPr>
      <w:outlineLvl w:val="5"/>
    </w:pPr>
  </w:style>
  <w:style w:type="paragraph" w:customStyle="1" w:styleId="139">
    <w:name w:val="附录图"/>
    <w:next w:val="64"/>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0">
    <w:name w:val="标准文件_一级项"/>
    <w:autoRedefine/>
    <w:qFormat/>
    <w:uiPriority w:val="0"/>
    <w:pPr>
      <w:numPr>
        <w:ilvl w:val="0"/>
        <w:numId w:val="20"/>
      </w:numPr>
    </w:pPr>
    <w:rPr>
      <w:rFonts w:ascii="宋体" w:hAnsi="Times New Roman" w:eastAsia="宋体" w:cs="Times New Roman"/>
      <w:sz w:val="21"/>
      <w:lang w:val="en-US" w:eastAsia="zh-CN" w:bidi="ar-SA"/>
    </w:rPr>
  </w:style>
  <w:style w:type="paragraph" w:customStyle="1" w:styleId="141">
    <w:name w:val="附录五级无标题条"/>
    <w:basedOn w:val="138"/>
    <w:next w:val="64"/>
    <w:autoRedefine/>
    <w:qFormat/>
    <w:uiPriority w:val="0"/>
    <w:pPr>
      <w:outlineLvl w:val="6"/>
    </w:pPr>
  </w:style>
  <w:style w:type="paragraph" w:customStyle="1" w:styleId="142">
    <w:name w:val="附录性质"/>
    <w:basedOn w:val="1"/>
    <w:autoRedefine/>
    <w:qFormat/>
    <w:uiPriority w:val="0"/>
    <w:pPr>
      <w:widowControl/>
      <w:adjustRightInd/>
      <w:jc w:val="center"/>
    </w:pPr>
    <w:rPr>
      <w:rFonts w:ascii="黑体" w:eastAsia="黑体"/>
    </w:rPr>
  </w:style>
  <w:style w:type="paragraph" w:customStyle="1" w:styleId="143">
    <w:name w:val="附录一级无标题条"/>
    <w:basedOn w:val="95"/>
    <w:next w:val="64"/>
    <w:autoRedefine/>
    <w:qFormat/>
    <w:uiPriority w:val="0"/>
    <w:pPr>
      <w:autoSpaceDN w:val="0"/>
      <w:outlineLvl w:val="2"/>
    </w:pPr>
    <w:rPr>
      <w:rFonts w:ascii="宋体" w:hAnsi="宋体" w:eastAsia="宋体"/>
    </w:rPr>
  </w:style>
  <w:style w:type="character" w:customStyle="1" w:styleId="144">
    <w:name w:val="个人答复风格"/>
    <w:autoRedefine/>
    <w:qFormat/>
    <w:uiPriority w:val="0"/>
    <w:rPr>
      <w:rFonts w:ascii="Arial" w:hAnsi="Arial" w:eastAsia="宋体" w:cs="Arial"/>
      <w:color w:val="auto"/>
      <w:spacing w:val="0"/>
      <w:sz w:val="20"/>
    </w:rPr>
  </w:style>
  <w:style w:type="character" w:customStyle="1" w:styleId="145">
    <w:name w:val="个人撰写风格"/>
    <w:autoRedefine/>
    <w:qFormat/>
    <w:uiPriority w:val="0"/>
    <w:rPr>
      <w:rFonts w:ascii="Arial" w:hAnsi="Arial" w:eastAsia="宋体" w:cs="Arial"/>
      <w:color w:val="auto"/>
      <w:spacing w:val="0"/>
      <w:sz w:val="20"/>
    </w:rPr>
  </w:style>
  <w:style w:type="paragraph" w:customStyle="1" w:styleId="146">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7">
    <w:name w:val="列项——"/>
    <w:autoRedefine/>
    <w:qFormat/>
    <w:uiPriority w:val="0"/>
    <w:pPr>
      <w:widowControl w:val="0"/>
      <w:numPr>
        <w:ilvl w:val="0"/>
        <w:numId w:val="21"/>
      </w:numPr>
      <w:jc w:val="both"/>
    </w:pPr>
    <w:rPr>
      <w:rFonts w:ascii="宋体" w:hAnsi="宋体" w:eastAsia="宋体" w:cs="Times New Roman"/>
      <w:sz w:val="21"/>
      <w:lang w:val="en-US" w:eastAsia="zh-CN" w:bidi="ar-SA"/>
    </w:rPr>
  </w:style>
  <w:style w:type="paragraph" w:customStyle="1" w:styleId="148">
    <w:name w:val="列项·"/>
    <w:basedOn w:val="64"/>
    <w:autoRedefine/>
    <w:qFormat/>
    <w:uiPriority w:val="0"/>
    <w:pPr>
      <w:tabs>
        <w:tab w:val="left" w:pos="840"/>
      </w:tabs>
    </w:pPr>
  </w:style>
  <w:style w:type="paragraph" w:customStyle="1" w:styleId="149">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50">
    <w:name w:val="目录 21"/>
    <w:basedOn w:val="1"/>
    <w:next w:val="1"/>
    <w:autoRedefine/>
    <w:semiHidden/>
    <w:qFormat/>
    <w:uiPriority w:val="0"/>
    <w:pPr>
      <w:adjustRightInd/>
      <w:spacing w:line="240" w:lineRule="auto"/>
      <w:jc w:val="left"/>
    </w:pPr>
    <w:rPr>
      <w:bCs/>
      <w:iCs/>
    </w:rPr>
  </w:style>
  <w:style w:type="paragraph" w:customStyle="1" w:styleId="151">
    <w:name w:val="目录 31"/>
    <w:basedOn w:val="1"/>
    <w:next w:val="1"/>
    <w:autoRedefine/>
    <w:semiHidden/>
    <w:qFormat/>
    <w:uiPriority w:val="0"/>
    <w:pPr>
      <w:spacing w:line="240" w:lineRule="auto"/>
    </w:pPr>
    <w:rPr>
      <w:rFonts w:ascii="宋体" w:hAnsi="宋体"/>
      <w:iCs/>
    </w:rPr>
  </w:style>
  <w:style w:type="paragraph" w:customStyle="1" w:styleId="152">
    <w:name w:val="目录 41"/>
    <w:basedOn w:val="1"/>
    <w:next w:val="1"/>
    <w:autoRedefine/>
    <w:semiHidden/>
    <w:qFormat/>
    <w:uiPriority w:val="0"/>
    <w:pPr>
      <w:adjustRightInd/>
      <w:spacing w:line="240" w:lineRule="auto"/>
      <w:jc w:val="left"/>
    </w:pPr>
  </w:style>
  <w:style w:type="paragraph" w:customStyle="1" w:styleId="153">
    <w:name w:val="目录 51"/>
    <w:basedOn w:val="1"/>
    <w:next w:val="1"/>
    <w:autoRedefine/>
    <w:semiHidden/>
    <w:qFormat/>
    <w:uiPriority w:val="0"/>
    <w:pPr>
      <w:spacing w:line="240" w:lineRule="auto"/>
    </w:pPr>
    <w:rPr>
      <w:rFonts w:ascii="宋体" w:hAnsi="宋体"/>
    </w:rPr>
  </w:style>
  <w:style w:type="paragraph" w:customStyle="1" w:styleId="154">
    <w:name w:val="目录 61"/>
    <w:basedOn w:val="1"/>
    <w:next w:val="1"/>
    <w:autoRedefine/>
    <w:semiHidden/>
    <w:qFormat/>
    <w:uiPriority w:val="0"/>
    <w:pPr>
      <w:adjustRightInd/>
      <w:spacing w:line="240" w:lineRule="auto"/>
      <w:jc w:val="left"/>
    </w:pPr>
  </w:style>
  <w:style w:type="paragraph" w:customStyle="1" w:styleId="155">
    <w:name w:val="目录 71"/>
    <w:basedOn w:val="154"/>
    <w:autoRedefine/>
    <w:semiHidden/>
    <w:qFormat/>
    <w:uiPriority w:val="0"/>
    <w:pPr>
      <w:ind w:left="1260"/>
    </w:pPr>
  </w:style>
  <w:style w:type="paragraph" w:customStyle="1" w:styleId="156">
    <w:name w:val="目录 81"/>
    <w:basedOn w:val="155"/>
    <w:autoRedefine/>
    <w:semiHidden/>
    <w:qFormat/>
    <w:uiPriority w:val="0"/>
    <w:pPr>
      <w:ind w:left="1470"/>
    </w:pPr>
  </w:style>
  <w:style w:type="paragraph" w:customStyle="1" w:styleId="157">
    <w:name w:val="目录 91"/>
    <w:basedOn w:val="156"/>
    <w:autoRedefine/>
    <w:semiHidden/>
    <w:qFormat/>
    <w:uiPriority w:val="0"/>
    <w:pPr>
      <w:ind w:left="1680"/>
    </w:pPr>
  </w:style>
  <w:style w:type="paragraph" w:customStyle="1" w:styleId="158">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9">
    <w:name w:val="其他发布部门"/>
    <w:basedOn w:val="127"/>
    <w:autoRedefine/>
    <w:qFormat/>
    <w:uiPriority w:val="0"/>
    <w:pPr>
      <w:framePr w:wrap="around"/>
      <w:spacing w:line="0" w:lineRule="atLeast"/>
    </w:pPr>
    <w:rPr>
      <w:rFonts w:ascii="黑体" w:eastAsia="黑体"/>
      <w:b w:val="0"/>
    </w:rPr>
  </w:style>
  <w:style w:type="paragraph" w:customStyle="1" w:styleId="160">
    <w:name w:val="前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1">
    <w:name w:val="三级无标题条"/>
    <w:basedOn w:val="1"/>
    <w:autoRedefine/>
    <w:qFormat/>
    <w:uiPriority w:val="0"/>
    <w:pPr>
      <w:numPr>
        <w:ilvl w:val="4"/>
        <w:numId w:val="19"/>
      </w:numPr>
      <w:adjustRightInd/>
      <w:spacing w:line="240" w:lineRule="auto"/>
    </w:pPr>
    <w:rPr>
      <w:rFonts w:ascii="宋体" w:hAnsi="宋体"/>
      <w:szCs w:val="24"/>
    </w:rPr>
  </w:style>
  <w:style w:type="paragraph" w:customStyle="1" w:styleId="162">
    <w:name w:val="实施日期"/>
    <w:basedOn w:val="128"/>
    <w:autoRedefine/>
    <w:qFormat/>
    <w:uiPriority w:val="0"/>
    <w:pPr>
      <w:framePr w:hSpace="0" w:wrap="around" w:xAlign="right"/>
      <w:jc w:val="right"/>
    </w:pPr>
  </w:style>
  <w:style w:type="paragraph" w:customStyle="1" w:styleId="163">
    <w:name w:val="四级无标题条"/>
    <w:basedOn w:val="1"/>
    <w:autoRedefine/>
    <w:qFormat/>
    <w:uiPriority w:val="0"/>
    <w:pPr>
      <w:numPr>
        <w:ilvl w:val="5"/>
        <w:numId w:val="19"/>
      </w:numPr>
      <w:adjustRightInd/>
      <w:spacing w:line="240" w:lineRule="auto"/>
    </w:pPr>
    <w:rPr>
      <w:rFonts w:ascii="宋体" w:hAnsi="宋体"/>
      <w:szCs w:val="24"/>
    </w:rPr>
  </w:style>
  <w:style w:type="paragraph" w:customStyle="1" w:styleId="164">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5">
    <w:name w:val="无标题条"/>
    <w:next w:val="64"/>
    <w:autoRedefine/>
    <w:qFormat/>
    <w:uiPriority w:val="0"/>
    <w:pPr>
      <w:jc w:val="both"/>
    </w:pPr>
    <w:rPr>
      <w:rFonts w:ascii="宋体" w:hAnsi="宋体" w:eastAsia="宋体" w:cs="Times New Roman"/>
      <w:sz w:val="21"/>
      <w:lang w:val="en-US" w:eastAsia="zh-CN" w:bidi="ar-SA"/>
    </w:rPr>
  </w:style>
  <w:style w:type="paragraph" w:customStyle="1" w:styleId="166">
    <w:name w:val="五级无标题条"/>
    <w:basedOn w:val="1"/>
    <w:autoRedefine/>
    <w:qFormat/>
    <w:uiPriority w:val="0"/>
    <w:pPr>
      <w:numPr>
        <w:ilvl w:val="6"/>
        <w:numId w:val="19"/>
      </w:numPr>
      <w:adjustRightInd/>
    </w:pPr>
    <w:rPr>
      <w:szCs w:val="24"/>
    </w:rPr>
  </w:style>
  <w:style w:type="paragraph" w:customStyle="1" w:styleId="167">
    <w:name w:val="一级无标题条"/>
    <w:basedOn w:val="1"/>
    <w:autoRedefine/>
    <w:qFormat/>
    <w:uiPriority w:val="0"/>
    <w:pPr>
      <w:numPr>
        <w:ilvl w:val="2"/>
        <w:numId w:val="19"/>
      </w:numPr>
      <w:adjustRightInd/>
      <w:spacing w:before="10" w:after="10" w:line="240" w:lineRule="auto"/>
    </w:pPr>
    <w:rPr>
      <w:rFonts w:ascii="宋体" w:hAnsi="宋体"/>
      <w:szCs w:val="24"/>
    </w:rPr>
  </w:style>
  <w:style w:type="paragraph" w:customStyle="1" w:styleId="168">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9">
    <w:name w:val="注×:后续"/>
    <w:basedOn w:val="168"/>
    <w:autoRedefine/>
    <w:qFormat/>
    <w:uiPriority w:val="0"/>
    <w:pPr>
      <w:ind w:left="1406" w:leftChars="0" w:hanging="499" w:firstLineChars="0"/>
    </w:pPr>
  </w:style>
  <w:style w:type="paragraph" w:customStyle="1" w:styleId="170">
    <w:name w:val="标准文件_一级无标题"/>
    <w:basedOn w:val="113"/>
    <w:autoRedefine/>
    <w:qFormat/>
    <w:uiPriority w:val="0"/>
    <w:pPr>
      <w:spacing w:before="0" w:beforeLines="0" w:after="0" w:afterLines="0"/>
      <w:outlineLvl w:val="9"/>
    </w:pPr>
    <w:rPr>
      <w:rFonts w:ascii="宋体" w:eastAsia="宋体"/>
    </w:rPr>
  </w:style>
  <w:style w:type="paragraph" w:customStyle="1" w:styleId="171">
    <w:name w:val="标准文件_五级无标题"/>
    <w:basedOn w:val="111"/>
    <w:autoRedefine/>
    <w:qFormat/>
    <w:uiPriority w:val="0"/>
    <w:pPr>
      <w:spacing w:before="0" w:beforeLines="0" w:after="0" w:afterLines="0"/>
      <w:outlineLvl w:val="9"/>
    </w:pPr>
    <w:rPr>
      <w:rFonts w:ascii="宋体" w:eastAsia="宋体"/>
    </w:rPr>
  </w:style>
  <w:style w:type="paragraph" w:customStyle="1" w:styleId="172">
    <w:name w:val="标准文件_三级无标题"/>
    <w:basedOn w:val="102"/>
    <w:autoRedefine/>
    <w:qFormat/>
    <w:uiPriority w:val="0"/>
    <w:pPr>
      <w:outlineLvl w:val="9"/>
    </w:pPr>
    <w:rPr>
      <w:rFonts w:ascii="宋体" w:eastAsia="宋体"/>
    </w:rPr>
  </w:style>
  <w:style w:type="paragraph" w:customStyle="1" w:styleId="173">
    <w:name w:val="标准文件_二级无标题"/>
    <w:basedOn w:val="73"/>
    <w:autoRedefine/>
    <w:qFormat/>
    <w:uiPriority w:val="0"/>
    <w:pPr>
      <w:outlineLvl w:val="9"/>
    </w:pPr>
    <w:rPr>
      <w:rFonts w:ascii="宋体" w:eastAsia="宋体"/>
    </w:rPr>
  </w:style>
  <w:style w:type="paragraph" w:customStyle="1" w:styleId="174">
    <w:name w:val="标准_四级无标题"/>
    <w:basedOn w:val="106"/>
    <w:next w:val="64"/>
    <w:autoRedefine/>
    <w:qFormat/>
    <w:uiPriority w:val="0"/>
    <w:rPr>
      <w:rFonts w:eastAsia="宋体"/>
    </w:rPr>
  </w:style>
  <w:style w:type="paragraph" w:customStyle="1" w:styleId="175">
    <w:name w:val="标准文件_四级无标题"/>
    <w:basedOn w:val="106"/>
    <w:autoRedefine/>
    <w:qFormat/>
    <w:uiPriority w:val="0"/>
    <w:pPr>
      <w:spacing w:before="0" w:beforeLines="0" w:after="0" w:afterLines="0"/>
      <w:outlineLvl w:val="9"/>
    </w:pPr>
    <w:rPr>
      <w:rFonts w:ascii="宋体" w:hAnsi="黑体" w:eastAsia="宋体"/>
      <w:szCs w:val="52"/>
    </w:rPr>
  </w:style>
  <w:style w:type="paragraph" w:customStyle="1" w:styleId="176">
    <w:name w:val="标准文件_大写罗马数字编号列项"/>
    <w:basedOn w:val="64"/>
    <w:autoRedefine/>
    <w:qFormat/>
    <w:uiPriority w:val="0"/>
    <w:pPr>
      <w:numPr>
        <w:ilvl w:val="0"/>
        <w:numId w:val="22"/>
      </w:numPr>
      <w:ind w:firstLine="0"/>
    </w:pPr>
    <w:rPr>
      <w:rFonts w:ascii="Times New Roman" w:cs="Arial"/>
      <w:szCs w:val="28"/>
    </w:rPr>
  </w:style>
  <w:style w:type="paragraph" w:customStyle="1" w:styleId="177">
    <w:name w:val="标准文件_小写罗马数字编号列项"/>
    <w:basedOn w:val="64"/>
    <w:autoRedefine/>
    <w:qFormat/>
    <w:uiPriority w:val="0"/>
    <w:pPr>
      <w:numPr>
        <w:ilvl w:val="0"/>
        <w:numId w:val="23"/>
      </w:numPr>
      <w:ind w:firstLine="0"/>
    </w:pPr>
    <w:rPr>
      <w:rFonts w:cs="Arial"/>
      <w:szCs w:val="28"/>
    </w:rPr>
  </w:style>
  <w:style w:type="paragraph" w:customStyle="1" w:styleId="178">
    <w:name w:val="标准文件_附录标题"/>
    <w:basedOn w:val="84"/>
    <w:autoRedefine/>
    <w:qFormat/>
    <w:uiPriority w:val="0"/>
    <w:pPr>
      <w:spacing w:after="280"/>
      <w:outlineLvl w:val="9"/>
    </w:pPr>
  </w:style>
  <w:style w:type="paragraph" w:customStyle="1" w:styleId="179">
    <w:name w:val="标准文件_二级项"/>
    <w:autoRedefine/>
    <w:qFormat/>
    <w:uiPriority w:val="0"/>
    <w:rPr>
      <w:rFonts w:ascii="宋体" w:hAnsi="Times New Roman" w:eastAsia="宋体" w:cs="Times New Roman"/>
      <w:sz w:val="21"/>
      <w:lang w:val="en-US" w:eastAsia="zh-CN" w:bidi="ar-SA"/>
    </w:rPr>
  </w:style>
  <w:style w:type="paragraph" w:customStyle="1" w:styleId="180">
    <w:name w:val="标准文件_三级项"/>
    <w:basedOn w:val="1"/>
    <w:autoRedefine/>
    <w:qFormat/>
    <w:uiPriority w:val="0"/>
    <w:pPr>
      <w:numPr>
        <w:ilvl w:val="2"/>
        <w:numId w:val="20"/>
      </w:numPr>
      <w:spacing w:line="536870612" w:lineRule="auto"/>
    </w:pPr>
    <w:rPr>
      <w:rFonts w:ascii="Times New Roman" w:hAnsi="Times New Roman"/>
    </w:rPr>
  </w:style>
  <w:style w:type="paragraph" w:customStyle="1" w:styleId="181">
    <w:name w:val="图表脚注说明"/>
    <w:basedOn w:val="1"/>
    <w:next w:val="64"/>
    <w:autoRedefine/>
    <w:qFormat/>
    <w:uiPriority w:val="0"/>
    <w:pPr>
      <w:numPr>
        <w:ilvl w:val="0"/>
        <w:numId w:val="24"/>
      </w:numPr>
      <w:adjustRightInd/>
      <w:spacing w:line="240" w:lineRule="auto"/>
    </w:pPr>
    <w:rPr>
      <w:rFonts w:ascii="宋体" w:hAnsi="Times New Roman"/>
      <w:sz w:val="18"/>
      <w:szCs w:val="18"/>
    </w:rPr>
  </w:style>
  <w:style w:type="paragraph" w:customStyle="1" w:styleId="182">
    <w:name w:val="标准文件_字母编号列项（一级）"/>
    <w:autoRedefine/>
    <w:qFormat/>
    <w:uiPriority w:val="0"/>
    <w:pPr>
      <w:numPr>
        <w:ilvl w:val="0"/>
        <w:numId w:val="12"/>
      </w:numPr>
      <w:jc w:val="both"/>
    </w:pPr>
    <w:rPr>
      <w:rFonts w:ascii="宋体" w:hAnsi="Times New Roman" w:eastAsia="宋体" w:cs="Times New Roman"/>
      <w:sz w:val="21"/>
      <w:lang w:val="en-US" w:eastAsia="zh-CN" w:bidi="ar-SA"/>
    </w:rPr>
  </w:style>
  <w:style w:type="paragraph" w:customStyle="1" w:styleId="183">
    <w:name w:val="标准文件_索引字母"/>
    <w:next w:val="64"/>
    <w:autoRedefine/>
    <w:qFormat/>
    <w:uiPriority w:val="0"/>
    <w:pPr>
      <w:jc w:val="center"/>
    </w:pPr>
    <w:rPr>
      <w:rFonts w:ascii="宋体" w:hAnsi="宋体" w:eastAsia="Times New Roman" w:cs="Times New Roman"/>
      <w:b/>
      <w:kern w:val="2"/>
      <w:sz w:val="21"/>
      <w:lang w:val="en-US" w:eastAsia="zh-CN" w:bidi="ar-SA"/>
    </w:rPr>
  </w:style>
  <w:style w:type="paragraph" w:customStyle="1" w:styleId="184">
    <w:name w:val="标准文件_附录前"/>
    <w:next w:val="64"/>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5">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6">
    <w:name w:val="标准文件_表格"/>
    <w:basedOn w:val="64"/>
    <w:autoRedefine/>
    <w:qFormat/>
    <w:uiPriority w:val="0"/>
    <w:pPr>
      <w:jc w:val="center"/>
    </w:pPr>
    <w:rPr>
      <w:sz w:val="18"/>
    </w:rPr>
  </w:style>
  <w:style w:type="paragraph" w:customStyle="1" w:styleId="187">
    <w:name w:val="标准文件_注："/>
    <w:next w:val="64"/>
    <w:autoRedefine/>
    <w:qFormat/>
    <w:uiPriority w:val="0"/>
    <w:pPr>
      <w:widowControl w:val="0"/>
      <w:numPr>
        <w:ilvl w:val="0"/>
        <w:numId w:val="25"/>
      </w:numPr>
      <w:autoSpaceDE w:val="0"/>
      <w:autoSpaceDN w:val="0"/>
      <w:jc w:val="both"/>
    </w:pPr>
    <w:rPr>
      <w:rFonts w:ascii="宋体" w:hAnsi="Times New Roman" w:eastAsia="宋体" w:cs="Times New Roman"/>
      <w:sz w:val="18"/>
      <w:szCs w:val="18"/>
      <w:lang w:val="en-US" w:eastAsia="zh-CN" w:bidi="ar-SA"/>
    </w:rPr>
  </w:style>
  <w:style w:type="paragraph" w:customStyle="1" w:styleId="188">
    <w:name w:val="标准文件_注×："/>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9">
    <w:name w:val="标准文件_示例："/>
    <w:next w:val="190"/>
    <w:link w:val="262"/>
    <w:autoRedefine/>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90">
    <w:name w:val="标准文件_示例内容"/>
    <w:basedOn w:val="64"/>
    <w:autoRedefine/>
    <w:qFormat/>
    <w:uiPriority w:val="0"/>
    <w:rPr>
      <w:sz w:val="18"/>
    </w:rPr>
  </w:style>
  <w:style w:type="paragraph" w:customStyle="1" w:styleId="191">
    <w:name w:val="标准文件_示例×："/>
    <w:basedOn w:val="1"/>
    <w:next w:val="190"/>
    <w:autoRedefine/>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92">
    <w:name w:val="标准文件_段 Char"/>
    <w:link w:val="64"/>
    <w:autoRedefine/>
    <w:qFormat/>
    <w:uiPriority w:val="0"/>
    <w:rPr>
      <w:rFonts w:ascii="宋体"/>
      <w:sz w:val="21"/>
    </w:rPr>
  </w:style>
  <w:style w:type="paragraph" w:customStyle="1" w:styleId="193">
    <w:name w:val="标准文件_表格续"/>
    <w:basedOn w:val="64"/>
    <w:next w:val="64"/>
    <w:autoRedefine/>
    <w:qFormat/>
    <w:uiPriority w:val="0"/>
    <w:pPr>
      <w:jc w:val="center"/>
    </w:pPr>
    <w:rPr>
      <w:rFonts w:ascii="黑体" w:hAnsi="黑体" w:eastAsia="黑体"/>
    </w:rPr>
  </w:style>
  <w:style w:type="character" w:styleId="194">
    <w:name w:val="Placeholder Text"/>
    <w:basedOn w:val="35"/>
    <w:autoRedefine/>
    <w:semiHidden/>
    <w:qFormat/>
    <w:uiPriority w:val="99"/>
    <w:rPr>
      <w:color w:val="808080"/>
    </w:rPr>
  </w:style>
  <w:style w:type="paragraph" w:customStyle="1" w:styleId="195">
    <w:name w:val="标准文件_二级项2"/>
    <w:basedOn w:val="64"/>
    <w:autoRedefine/>
    <w:qFormat/>
    <w:uiPriority w:val="0"/>
    <w:pPr>
      <w:numPr>
        <w:ilvl w:val="1"/>
        <w:numId w:val="20"/>
      </w:numPr>
      <w:ind w:firstLine="0"/>
    </w:pPr>
  </w:style>
  <w:style w:type="paragraph" w:customStyle="1" w:styleId="196">
    <w:name w:val="标准文件_三级项2"/>
    <w:basedOn w:val="64"/>
    <w:autoRedefine/>
    <w:qFormat/>
    <w:uiPriority w:val="0"/>
    <w:pPr>
      <w:numPr>
        <w:ilvl w:val="0"/>
        <w:numId w:val="29"/>
      </w:numPr>
      <w:spacing w:line="300" w:lineRule="exact"/>
    </w:pPr>
    <w:rPr>
      <w:rFonts w:ascii="Times New Roman"/>
    </w:rPr>
  </w:style>
  <w:style w:type="paragraph" w:customStyle="1" w:styleId="197">
    <w:name w:val="标准文件_一级项2"/>
    <w:basedOn w:val="64"/>
    <w:autoRedefine/>
    <w:qFormat/>
    <w:uiPriority w:val="0"/>
    <w:pPr>
      <w:numPr>
        <w:ilvl w:val="0"/>
        <w:numId w:val="30"/>
      </w:numPr>
      <w:spacing w:line="300" w:lineRule="exact"/>
    </w:pPr>
    <w:rPr>
      <w:rFonts w:ascii="Times New Roman"/>
    </w:rPr>
  </w:style>
  <w:style w:type="paragraph" w:customStyle="1" w:styleId="198">
    <w:name w:val="标准文件_提示"/>
    <w:basedOn w:val="64"/>
    <w:next w:val="64"/>
    <w:autoRedefine/>
    <w:qFormat/>
    <w:uiPriority w:val="0"/>
    <w:rPr>
      <w:rFonts w:ascii="黑体" w:eastAsia="黑体"/>
    </w:rPr>
  </w:style>
  <w:style w:type="character" w:customStyle="1" w:styleId="199">
    <w:name w:val="标准文件_来源"/>
    <w:basedOn w:val="35"/>
    <w:autoRedefine/>
    <w:qFormat/>
    <w:uiPriority w:val="1"/>
    <w:rPr>
      <w:rFonts w:eastAsia="宋体"/>
      <w:sz w:val="21"/>
    </w:rPr>
  </w:style>
  <w:style w:type="paragraph" w:customStyle="1" w:styleId="200">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1">
    <w:name w:val="其他发布日期"/>
    <w:basedOn w:val="128"/>
    <w:autoRedefine/>
    <w:qFormat/>
    <w:uiPriority w:val="0"/>
    <w:pPr>
      <w:framePr w:w="3997" w:h="471" w:hRule="exact" w:hSpace="0" w:vSpace="181" w:wrap="around" w:vAnchor="page" w:hAnchor="page" w:x="1419" w:y="14097"/>
    </w:pPr>
  </w:style>
  <w:style w:type="paragraph" w:customStyle="1" w:styleId="202">
    <w:name w:val="其他实施日期"/>
    <w:basedOn w:val="162"/>
    <w:autoRedefine/>
    <w:qFormat/>
    <w:uiPriority w:val="0"/>
    <w:pPr>
      <w:framePr w:w="3997" w:h="471" w:hRule="exact" w:vSpace="181" w:wrap="around" w:vAnchor="page" w:hAnchor="page" w:x="7089" w:y="14097"/>
    </w:pPr>
  </w:style>
  <w:style w:type="paragraph" w:customStyle="1" w:styleId="203">
    <w:name w:val="标准文件_文件编号"/>
    <w:basedOn w:val="64"/>
    <w:autoRedefine/>
    <w:qFormat/>
    <w:uiPriority w:val="0"/>
    <w:pPr>
      <w:framePr w:w="9356" w:h="624" w:hRule="exact" w:hSpace="181" w:vSpace="181" w:wrap="around" w:vAnchor="page" w:hAnchor="page" w:x="1419" w:y="3284"/>
      <w:wordWrap w:val="0"/>
      <w:spacing w:line="280" w:lineRule="exact"/>
      <w:jc w:val="right"/>
    </w:pPr>
    <w:rPr>
      <w:rFonts w:ascii="黑体" w:eastAsia="黑体"/>
      <w:bCs/>
      <w:sz w:val="28"/>
      <w:szCs w:val="28"/>
    </w:rPr>
  </w:style>
  <w:style w:type="paragraph" w:customStyle="1" w:styleId="204">
    <w:name w:val="标准文件_替换文件编号"/>
    <w:basedOn w:val="203"/>
    <w:autoRedefine/>
    <w:qFormat/>
    <w:uiPriority w:val="0"/>
    <w:pPr>
      <w:framePr w:wrap="around"/>
      <w:spacing w:before="57"/>
    </w:pPr>
    <w:rPr>
      <w:sz w:val="21"/>
    </w:rPr>
  </w:style>
  <w:style w:type="paragraph" w:customStyle="1" w:styleId="205">
    <w:name w:val="标准文件_文件名称"/>
    <w:basedOn w:val="64"/>
    <w:next w:val="64"/>
    <w:autoRedefine/>
    <w:qFormat/>
    <w:uiPriority w:val="0"/>
    <w:pPr>
      <w:framePr w:w="9639" w:h="6976" w:hRule="exact" w:wrap="around" w:vAnchor="page" w:hAnchor="page" w:y="6408"/>
      <w:autoSpaceDE/>
      <w:autoSpaceDN/>
      <w:spacing w:line="700" w:lineRule="exact"/>
      <w:jc w:val="center"/>
    </w:pPr>
    <w:rPr>
      <w:rFonts w:ascii="黑体" w:hAnsi="黑体" w:eastAsia="黑体"/>
      <w:bCs/>
      <w:sz w:val="52"/>
    </w:rPr>
  </w:style>
  <w:style w:type="paragraph" w:customStyle="1" w:styleId="206">
    <w:name w:val="标准文件_附录图标号"/>
    <w:basedOn w:val="64"/>
    <w:next w:val="64"/>
    <w:autoRedefine/>
    <w:qFormat/>
    <w:uiPriority w:val="0"/>
    <w:pPr>
      <w:numPr>
        <w:ilvl w:val="0"/>
        <w:numId w:val="5"/>
      </w:numPr>
      <w:spacing w:line="14" w:lineRule="exact"/>
      <w:ind w:firstLine="0"/>
      <w:jc w:val="center"/>
    </w:pPr>
    <w:rPr>
      <w:rFonts w:ascii="黑体" w:hAnsi="黑体" w:eastAsia="黑体"/>
      <w:vanish/>
      <w:sz w:val="2"/>
      <w:szCs w:val="21"/>
    </w:rPr>
  </w:style>
  <w:style w:type="paragraph" w:customStyle="1" w:styleId="207">
    <w:name w:val="标准文件_附录表标号"/>
    <w:basedOn w:val="64"/>
    <w:next w:val="64"/>
    <w:autoRedefine/>
    <w:qFormat/>
    <w:uiPriority w:val="0"/>
    <w:pPr>
      <w:numPr>
        <w:ilvl w:val="0"/>
        <w:numId w:val="3"/>
      </w:numPr>
      <w:spacing w:line="14" w:lineRule="exact"/>
      <w:ind w:firstLine="0"/>
      <w:jc w:val="center"/>
    </w:pPr>
    <w:rPr>
      <w:rFonts w:eastAsia="黑体"/>
      <w:vanish/>
      <w:sz w:val="2"/>
    </w:rPr>
  </w:style>
  <w:style w:type="paragraph" w:customStyle="1" w:styleId="208">
    <w:name w:val="标准文件_引言一级条标题"/>
    <w:basedOn w:val="64"/>
    <w:next w:val="64"/>
    <w:autoRedefine/>
    <w:qFormat/>
    <w:uiPriority w:val="0"/>
    <w:pPr>
      <w:numPr>
        <w:ilvl w:val="1"/>
        <w:numId w:val="7"/>
      </w:numPr>
      <w:spacing w:before="50" w:beforeLines="50" w:after="50" w:afterLines="50"/>
    </w:pPr>
    <w:rPr>
      <w:rFonts w:ascii="黑体" w:eastAsia="黑体"/>
    </w:rPr>
  </w:style>
  <w:style w:type="paragraph" w:customStyle="1" w:styleId="209">
    <w:name w:val="标准文件_引言二级条标题"/>
    <w:basedOn w:val="64"/>
    <w:next w:val="64"/>
    <w:autoRedefine/>
    <w:qFormat/>
    <w:uiPriority w:val="0"/>
    <w:pPr>
      <w:numPr>
        <w:ilvl w:val="2"/>
        <w:numId w:val="7"/>
      </w:numPr>
      <w:spacing w:before="50" w:beforeLines="50" w:after="50" w:afterLines="50"/>
    </w:pPr>
    <w:rPr>
      <w:rFonts w:ascii="黑体" w:eastAsia="黑体"/>
    </w:rPr>
  </w:style>
  <w:style w:type="paragraph" w:customStyle="1" w:styleId="210">
    <w:name w:val="标准文件_引言三级条标题"/>
    <w:basedOn w:val="64"/>
    <w:next w:val="64"/>
    <w:link w:val="263"/>
    <w:autoRedefine/>
    <w:qFormat/>
    <w:uiPriority w:val="0"/>
    <w:pPr>
      <w:numPr>
        <w:ilvl w:val="3"/>
        <w:numId w:val="7"/>
      </w:numPr>
      <w:spacing w:before="50" w:beforeLines="50" w:after="50" w:afterLines="50"/>
    </w:pPr>
    <w:rPr>
      <w:rFonts w:ascii="黑体" w:eastAsia="黑体"/>
    </w:rPr>
  </w:style>
  <w:style w:type="paragraph" w:customStyle="1" w:styleId="211">
    <w:name w:val="标准文件_引言四级条标题"/>
    <w:basedOn w:val="64"/>
    <w:next w:val="64"/>
    <w:autoRedefine/>
    <w:qFormat/>
    <w:uiPriority w:val="0"/>
    <w:pPr>
      <w:numPr>
        <w:ilvl w:val="4"/>
        <w:numId w:val="7"/>
      </w:numPr>
      <w:spacing w:before="50" w:beforeLines="50" w:after="50" w:afterLines="50"/>
    </w:pPr>
    <w:rPr>
      <w:rFonts w:ascii="黑体" w:eastAsia="黑体"/>
    </w:rPr>
  </w:style>
  <w:style w:type="paragraph" w:customStyle="1" w:styleId="212">
    <w:name w:val="标准文件_引言五级条标题"/>
    <w:basedOn w:val="64"/>
    <w:next w:val="64"/>
    <w:autoRedefine/>
    <w:qFormat/>
    <w:uiPriority w:val="0"/>
    <w:pPr>
      <w:numPr>
        <w:ilvl w:val="5"/>
        <w:numId w:val="7"/>
      </w:numPr>
      <w:spacing w:before="50" w:beforeLines="50" w:after="50" w:afterLines="50"/>
    </w:pPr>
    <w:rPr>
      <w:rFonts w:ascii="黑体" w:eastAsia="黑体"/>
    </w:rPr>
  </w:style>
  <w:style w:type="paragraph" w:customStyle="1" w:styleId="213">
    <w:name w:val="标准文件_注后"/>
    <w:basedOn w:val="64"/>
    <w:autoRedefine/>
    <w:qFormat/>
    <w:uiPriority w:val="0"/>
    <w:pPr>
      <w:ind w:left="811"/>
    </w:pPr>
    <w:rPr>
      <w:sz w:val="18"/>
    </w:rPr>
  </w:style>
  <w:style w:type="paragraph" w:customStyle="1" w:styleId="214">
    <w:name w:val="标准文件_注X后"/>
    <w:basedOn w:val="64"/>
    <w:autoRedefine/>
    <w:qFormat/>
    <w:uiPriority w:val="0"/>
    <w:pPr>
      <w:ind w:left="811"/>
    </w:pPr>
    <w:rPr>
      <w:sz w:val="18"/>
    </w:rPr>
  </w:style>
  <w:style w:type="paragraph" w:customStyle="1" w:styleId="215">
    <w:name w:val="标准文件_示例后"/>
    <w:basedOn w:val="64"/>
    <w:autoRedefine/>
    <w:qFormat/>
    <w:uiPriority w:val="0"/>
    <w:pPr>
      <w:ind w:left="964"/>
    </w:pPr>
    <w:rPr>
      <w:sz w:val="18"/>
    </w:rPr>
  </w:style>
  <w:style w:type="paragraph" w:customStyle="1" w:styleId="216">
    <w:name w:val="标准文件_示例X后"/>
    <w:basedOn w:val="64"/>
    <w:link w:val="217"/>
    <w:autoRedefine/>
    <w:qFormat/>
    <w:uiPriority w:val="0"/>
    <w:pPr>
      <w:ind w:left="1049"/>
    </w:pPr>
    <w:rPr>
      <w:sz w:val="18"/>
    </w:rPr>
  </w:style>
  <w:style w:type="character" w:customStyle="1" w:styleId="217">
    <w:name w:val="标准文件_示例X后 字符"/>
    <w:basedOn w:val="192"/>
    <w:link w:val="216"/>
    <w:autoRedefine/>
    <w:qFormat/>
    <w:uiPriority w:val="0"/>
    <w:rPr>
      <w:rFonts w:ascii="宋体" w:hAnsi="Times New Roman"/>
      <w:sz w:val="18"/>
    </w:rPr>
  </w:style>
  <w:style w:type="paragraph" w:customStyle="1" w:styleId="218">
    <w:name w:val="标准文件_索引项"/>
    <w:basedOn w:val="64"/>
    <w:next w:val="64"/>
    <w:autoRedefine/>
    <w:qFormat/>
    <w:uiPriority w:val="0"/>
    <w:pPr>
      <w:tabs>
        <w:tab w:val="right" w:leader="dot" w:pos="9356"/>
      </w:tabs>
      <w:ind w:left="210" w:hanging="210"/>
      <w:jc w:val="left"/>
    </w:pPr>
  </w:style>
  <w:style w:type="paragraph" w:customStyle="1" w:styleId="219">
    <w:name w:val="标准文件_附录一级无标题"/>
    <w:basedOn w:val="86"/>
    <w:link w:val="264"/>
    <w:autoRedefine/>
    <w:qFormat/>
    <w:uiPriority w:val="0"/>
    <w:pPr>
      <w:spacing w:before="0" w:beforeLines="0" w:after="0" w:afterLines="0" w:line="276" w:lineRule="auto"/>
      <w:outlineLvl w:val="9"/>
    </w:pPr>
    <w:rPr>
      <w:rFonts w:ascii="宋体" w:eastAsia="宋体"/>
    </w:rPr>
  </w:style>
  <w:style w:type="paragraph" w:customStyle="1" w:styleId="220">
    <w:name w:val="标准文件_附录二级无标题"/>
    <w:basedOn w:val="87"/>
    <w:autoRedefine/>
    <w:qFormat/>
    <w:uiPriority w:val="0"/>
    <w:pPr>
      <w:spacing w:before="0" w:beforeLines="0" w:after="0" w:afterLines="0" w:line="276" w:lineRule="auto"/>
      <w:outlineLvl w:val="9"/>
    </w:pPr>
    <w:rPr>
      <w:rFonts w:ascii="宋体" w:eastAsia="宋体"/>
    </w:rPr>
  </w:style>
  <w:style w:type="paragraph" w:customStyle="1" w:styleId="221">
    <w:name w:val="标准文件_附录三级无标题"/>
    <w:basedOn w:val="89"/>
    <w:autoRedefine/>
    <w:qFormat/>
    <w:uiPriority w:val="0"/>
    <w:pPr>
      <w:spacing w:before="0" w:beforeLines="0" w:after="0" w:afterLines="0" w:line="276" w:lineRule="auto"/>
      <w:outlineLvl w:val="9"/>
    </w:pPr>
    <w:rPr>
      <w:rFonts w:ascii="宋体" w:eastAsia="宋体"/>
    </w:rPr>
  </w:style>
  <w:style w:type="paragraph" w:customStyle="1" w:styleId="222">
    <w:name w:val="标准文件_附录四级无标题"/>
    <w:basedOn w:val="90"/>
    <w:autoRedefine/>
    <w:qFormat/>
    <w:uiPriority w:val="0"/>
    <w:pPr>
      <w:spacing w:before="0" w:beforeLines="0" w:after="0" w:afterLines="0" w:line="276" w:lineRule="auto"/>
      <w:outlineLvl w:val="9"/>
    </w:pPr>
    <w:rPr>
      <w:rFonts w:ascii="宋体" w:eastAsia="宋体"/>
    </w:rPr>
  </w:style>
  <w:style w:type="paragraph" w:customStyle="1" w:styleId="223">
    <w:name w:val="标准文件_附录五级无标题"/>
    <w:basedOn w:val="92"/>
    <w:link w:val="265"/>
    <w:autoRedefine/>
    <w:qFormat/>
    <w:uiPriority w:val="0"/>
    <w:pPr>
      <w:spacing w:before="0" w:beforeLines="0" w:after="0" w:afterLines="0" w:line="276" w:lineRule="auto"/>
      <w:outlineLvl w:val="9"/>
    </w:pPr>
    <w:rPr>
      <w:rFonts w:ascii="宋体" w:eastAsia="宋体"/>
    </w:rPr>
  </w:style>
  <w:style w:type="paragraph" w:customStyle="1" w:styleId="224">
    <w:name w:val="标准文件_引言一级无标题"/>
    <w:basedOn w:val="208"/>
    <w:next w:val="64"/>
    <w:autoRedefine/>
    <w:qFormat/>
    <w:uiPriority w:val="0"/>
    <w:pPr>
      <w:spacing w:before="0" w:beforeLines="0" w:after="0" w:afterLines="0" w:line="276" w:lineRule="auto"/>
    </w:pPr>
    <w:rPr>
      <w:rFonts w:ascii="宋体" w:eastAsia="宋体"/>
    </w:rPr>
  </w:style>
  <w:style w:type="paragraph" w:customStyle="1" w:styleId="225">
    <w:name w:val="标准文件_引言二级无标题"/>
    <w:basedOn w:val="209"/>
    <w:next w:val="64"/>
    <w:autoRedefine/>
    <w:qFormat/>
    <w:uiPriority w:val="0"/>
    <w:pPr>
      <w:spacing w:before="0" w:beforeLines="0" w:after="0" w:afterLines="0" w:line="276" w:lineRule="auto"/>
    </w:pPr>
    <w:rPr>
      <w:rFonts w:ascii="宋体" w:eastAsia="宋体"/>
    </w:rPr>
  </w:style>
  <w:style w:type="paragraph" w:customStyle="1" w:styleId="226">
    <w:name w:val="标准文件_引言三级无标题"/>
    <w:basedOn w:val="210"/>
    <w:autoRedefine/>
    <w:qFormat/>
    <w:uiPriority w:val="0"/>
    <w:pPr>
      <w:spacing w:before="0" w:beforeLines="0" w:after="0" w:afterLines="0" w:line="276" w:lineRule="auto"/>
    </w:pPr>
    <w:rPr>
      <w:rFonts w:ascii="宋体" w:eastAsia="宋体"/>
    </w:rPr>
  </w:style>
  <w:style w:type="paragraph" w:customStyle="1" w:styleId="227">
    <w:name w:val="标准文件_引言四级无标题"/>
    <w:basedOn w:val="211"/>
    <w:next w:val="64"/>
    <w:link w:val="266"/>
    <w:autoRedefine/>
    <w:qFormat/>
    <w:uiPriority w:val="0"/>
    <w:pPr>
      <w:spacing w:before="0" w:beforeLines="0" w:after="0" w:afterLines="0" w:line="276" w:lineRule="auto"/>
    </w:pPr>
    <w:rPr>
      <w:rFonts w:ascii="宋体" w:eastAsia="宋体"/>
    </w:rPr>
  </w:style>
  <w:style w:type="paragraph" w:customStyle="1" w:styleId="228">
    <w:name w:val="标准文件_引言五级无标题"/>
    <w:basedOn w:val="212"/>
    <w:next w:val="64"/>
    <w:autoRedefine/>
    <w:qFormat/>
    <w:uiPriority w:val="0"/>
    <w:pPr>
      <w:spacing w:before="0" w:beforeLines="0" w:after="0" w:afterLines="0" w:line="276" w:lineRule="auto"/>
    </w:pPr>
    <w:rPr>
      <w:rFonts w:ascii="宋体" w:eastAsia="宋体"/>
    </w:rPr>
  </w:style>
  <w:style w:type="paragraph" w:customStyle="1" w:styleId="229">
    <w:name w:val="标准文件_索引标题"/>
    <w:basedOn w:val="71"/>
    <w:next w:val="64"/>
    <w:autoRedefine/>
    <w:qFormat/>
    <w:uiPriority w:val="0"/>
    <w:rPr>
      <w:rFonts w:hAnsi="黑体"/>
    </w:rPr>
  </w:style>
  <w:style w:type="paragraph" w:customStyle="1" w:styleId="230">
    <w:name w:val="标准文件_脚注内容"/>
    <w:basedOn w:val="64"/>
    <w:autoRedefine/>
    <w:qFormat/>
    <w:uiPriority w:val="0"/>
    <w:pPr>
      <w:ind w:left="400" w:leftChars="200" w:hanging="200" w:hangingChars="200"/>
    </w:pPr>
    <w:rPr>
      <w:sz w:val="15"/>
    </w:rPr>
  </w:style>
  <w:style w:type="paragraph" w:customStyle="1" w:styleId="231">
    <w:name w:val="标准文件_术语条一"/>
    <w:basedOn w:val="170"/>
    <w:next w:val="64"/>
    <w:link w:val="267"/>
    <w:autoRedefine/>
    <w:qFormat/>
    <w:uiPriority w:val="0"/>
  </w:style>
  <w:style w:type="paragraph" w:customStyle="1" w:styleId="232">
    <w:name w:val="标准文件_术语条二"/>
    <w:basedOn w:val="173"/>
    <w:next w:val="64"/>
    <w:autoRedefine/>
    <w:qFormat/>
    <w:uiPriority w:val="0"/>
  </w:style>
  <w:style w:type="paragraph" w:customStyle="1" w:styleId="233">
    <w:name w:val="标准文件_术语条三"/>
    <w:basedOn w:val="172"/>
    <w:next w:val="64"/>
    <w:autoRedefine/>
    <w:qFormat/>
    <w:uiPriority w:val="0"/>
  </w:style>
  <w:style w:type="paragraph" w:customStyle="1" w:styleId="234">
    <w:name w:val="标准文件_术语条四"/>
    <w:basedOn w:val="175"/>
    <w:next w:val="64"/>
    <w:autoRedefine/>
    <w:qFormat/>
    <w:uiPriority w:val="0"/>
  </w:style>
  <w:style w:type="paragraph" w:customStyle="1" w:styleId="235">
    <w:name w:val="标准文件_术语条五"/>
    <w:basedOn w:val="121"/>
    <w:next w:val="64"/>
    <w:link w:val="268"/>
    <w:autoRedefine/>
    <w:qFormat/>
    <w:uiPriority w:val="0"/>
  </w:style>
  <w:style w:type="paragraph" w:customStyle="1" w:styleId="236">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7">
    <w:name w:val="发布"/>
    <w:basedOn w:val="35"/>
    <w:autoRedefine/>
    <w:qFormat/>
    <w:uiPriority w:val="0"/>
    <w:rPr>
      <w:rFonts w:ascii="黑体" w:eastAsia="黑体"/>
      <w:spacing w:val="85"/>
      <w:w w:val="100"/>
      <w:position w:val="3"/>
      <w:sz w:val="28"/>
      <w:szCs w:val="28"/>
    </w:rPr>
  </w:style>
  <w:style w:type="character" w:customStyle="1" w:styleId="238">
    <w:name w:val="段 Char"/>
    <w:link w:val="239"/>
    <w:autoRedefine/>
    <w:qFormat/>
    <w:locked/>
    <w:uiPriority w:val="0"/>
    <w:rPr>
      <w:rFonts w:ascii="宋体" w:hAnsi="宋体"/>
    </w:rPr>
  </w:style>
  <w:style w:type="paragraph" w:customStyle="1" w:styleId="239">
    <w:name w:val="段"/>
    <w:link w:val="238"/>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lang w:val="en-US" w:eastAsia="zh-CN" w:bidi="ar-SA"/>
    </w:rPr>
  </w:style>
  <w:style w:type="paragraph" w:customStyle="1" w:styleId="240">
    <w:name w:val="Table Paragraph"/>
    <w:basedOn w:val="1"/>
    <w:autoRedefine/>
    <w:qFormat/>
    <w:uiPriority w:val="1"/>
    <w:pPr>
      <w:adjustRightInd/>
      <w:spacing w:line="240" w:lineRule="auto"/>
      <w:ind w:firstLine="200" w:firstLineChars="200"/>
      <w:jc w:val="left"/>
    </w:pPr>
    <w:rPr>
      <w:kern w:val="0"/>
      <w:sz w:val="22"/>
      <w:szCs w:val="22"/>
      <w:lang w:eastAsia="en-US"/>
    </w:rPr>
  </w:style>
  <w:style w:type="paragraph" w:customStyle="1" w:styleId="241">
    <w:name w:val="其他标准标志"/>
    <w:basedOn w:val="1"/>
    <w:autoRedefine/>
    <w:qFormat/>
    <w:uiPriority w:val="0"/>
    <w:pPr>
      <w:framePr w:w="6101" w:h="1389" w:hRule="exact" w:hSpace="181" w:vSpace="181" w:wrap="around" w:vAnchor="page" w:hAnchor="page" w:x="4673" w:y="942" w:anchorLock="1"/>
      <w:widowControl/>
      <w:shd w:val="solid" w:color="FFFFFF" w:fill="FFFFFF"/>
      <w:adjustRightInd/>
      <w:spacing w:line="0" w:lineRule="atLeast"/>
      <w:jc w:val="right"/>
    </w:pPr>
    <w:rPr>
      <w:rFonts w:ascii="Times New Roman" w:hAnsi="Times New Roman"/>
      <w:b/>
      <w:w w:val="130"/>
      <w:kern w:val="0"/>
      <w:sz w:val="96"/>
      <w:szCs w:val="96"/>
    </w:rPr>
  </w:style>
  <w:style w:type="paragraph" w:customStyle="1" w:styleId="242">
    <w:name w:val="数字编号列项（二级）"/>
    <w:autoRedefine/>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243">
    <w:name w:val="字母编号列项（一级）"/>
    <w:autoRedefine/>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244">
    <w:name w:val="编号列项（三级）"/>
    <w:autoRedefine/>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245">
    <w:name w:val="修订1"/>
    <w:autoRedefine/>
    <w:hidden/>
    <w:semiHidden/>
    <w:qFormat/>
    <w:uiPriority w:val="99"/>
    <w:rPr>
      <w:rFonts w:ascii="Calibri" w:hAnsi="Calibri" w:eastAsia="宋体" w:cs="Times New Roman"/>
      <w:kern w:val="2"/>
      <w:sz w:val="21"/>
      <w:szCs w:val="21"/>
      <w:lang w:val="en-US" w:eastAsia="zh-CN" w:bidi="ar-SA"/>
    </w:rPr>
  </w:style>
  <w:style w:type="character" w:customStyle="1" w:styleId="246">
    <w:name w:val="批注文字 字符"/>
    <w:basedOn w:val="35"/>
    <w:link w:val="14"/>
    <w:autoRedefine/>
    <w:qFormat/>
    <w:uiPriority w:val="99"/>
    <w:rPr>
      <w:kern w:val="2"/>
      <w:sz w:val="21"/>
      <w:szCs w:val="21"/>
    </w:rPr>
  </w:style>
  <w:style w:type="character" w:customStyle="1" w:styleId="247">
    <w:name w:val="批注主题 字符"/>
    <w:basedOn w:val="246"/>
    <w:link w:val="32"/>
    <w:autoRedefine/>
    <w:semiHidden/>
    <w:qFormat/>
    <w:uiPriority w:val="99"/>
    <w:rPr>
      <w:b/>
      <w:bCs/>
      <w:kern w:val="2"/>
      <w:sz w:val="21"/>
      <w:szCs w:val="21"/>
    </w:rPr>
  </w:style>
  <w:style w:type="character" w:customStyle="1" w:styleId="248">
    <w:name w:val="日期 字符"/>
    <w:basedOn w:val="35"/>
    <w:link w:val="20"/>
    <w:autoRedefine/>
    <w:semiHidden/>
    <w:qFormat/>
    <w:uiPriority w:val="99"/>
    <w:rPr>
      <w:kern w:val="2"/>
      <w:sz w:val="21"/>
      <w:szCs w:val="21"/>
    </w:rPr>
  </w:style>
  <w:style w:type="paragraph" w:customStyle="1" w:styleId="249">
    <w:name w:val="修订2"/>
    <w:autoRedefine/>
    <w:hidden/>
    <w:semiHidden/>
    <w:qFormat/>
    <w:uiPriority w:val="99"/>
    <w:rPr>
      <w:rFonts w:ascii="Calibri" w:hAnsi="Calibri" w:eastAsia="宋体" w:cs="Times New Roman"/>
      <w:kern w:val="2"/>
      <w:sz w:val="21"/>
      <w:szCs w:val="21"/>
      <w:lang w:val="en-US" w:eastAsia="zh-CN" w:bidi="ar-SA"/>
    </w:rPr>
  </w:style>
  <w:style w:type="paragraph" w:customStyle="1" w:styleId="250">
    <w:name w:val="修订3"/>
    <w:autoRedefine/>
    <w:hidden/>
    <w:semiHidden/>
    <w:qFormat/>
    <w:uiPriority w:val="99"/>
    <w:rPr>
      <w:rFonts w:ascii="Calibri" w:hAnsi="Calibri" w:eastAsia="宋体" w:cs="Times New Roman"/>
      <w:kern w:val="2"/>
      <w:sz w:val="21"/>
      <w:szCs w:val="21"/>
      <w:lang w:val="en-US" w:eastAsia="zh-CN" w:bidi="ar-SA"/>
    </w:rPr>
  </w:style>
  <w:style w:type="paragraph" w:customStyle="1" w:styleId="251">
    <w:name w:val="参考文献"/>
    <w:basedOn w:val="1"/>
    <w:next w:val="239"/>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252">
    <w:name w:val="修订4"/>
    <w:autoRedefine/>
    <w:hidden/>
    <w:semiHidden/>
    <w:qFormat/>
    <w:uiPriority w:val="99"/>
    <w:rPr>
      <w:rFonts w:ascii="Calibri" w:hAnsi="Calibri" w:eastAsia="宋体" w:cs="Times New Roman"/>
      <w:kern w:val="2"/>
      <w:sz w:val="21"/>
      <w:szCs w:val="21"/>
      <w:lang w:val="en-US" w:eastAsia="zh-CN" w:bidi="ar-SA"/>
    </w:rPr>
  </w:style>
  <w:style w:type="paragraph" w:customStyle="1" w:styleId="253">
    <w:name w:val="修订5"/>
    <w:autoRedefine/>
    <w:hidden/>
    <w:semiHidden/>
    <w:qFormat/>
    <w:uiPriority w:val="99"/>
    <w:rPr>
      <w:rFonts w:ascii="Calibri" w:hAnsi="Calibri" w:eastAsia="宋体" w:cs="Times New Roman"/>
      <w:kern w:val="2"/>
      <w:sz w:val="21"/>
      <w:szCs w:val="21"/>
      <w:lang w:val="en-US" w:eastAsia="zh-CN" w:bidi="ar-SA"/>
    </w:rPr>
  </w:style>
  <w:style w:type="paragraph" w:customStyle="1" w:styleId="254">
    <w:name w:val="修订6"/>
    <w:autoRedefine/>
    <w:hidden/>
    <w:semiHidden/>
    <w:qFormat/>
    <w:uiPriority w:val="99"/>
    <w:rPr>
      <w:rFonts w:ascii="Calibri" w:hAnsi="Calibri" w:eastAsia="宋体" w:cs="Times New Roman"/>
      <w:kern w:val="2"/>
      <w:sz w:val="21"/>
      <w:szCs w:val="21"/>
      <w:lang w:val="en-US" w:eastAsia="zh-CN" w:bidi="ar-SA"/>
    </w:rPr>
  </w:style>
  <w:style w:type="paragraph" w:customStyle="1" w:styleId="255">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56">
    <w:name w:val="标准文件_标准正文 Char"/>
    <w:link w:val="63"/>
    <w:autoRedefine/>
    <w:qFormat/>
    <w:uiPriority w:val="0"/>
    <w:rPr>
      <w:kern w:val="0"/>
    </w:rPr>
  </w:style>
  <w:style w:type="character" w:customStyle="1" w:styleId="257">
    <w:name w:val="标准文件_附录二级条标题 Char"/>
    <w:link w:val="87"/>
    <w:autoRedefine/>
    <w:qFormat/>
    <w:uiPriority w:val="0"/>
    <w:rPr>
      <w:rFonts w:ascii="黑体" w:eastAsia="黑体"/>
      <w:kern w:val="21"/>
      <w:sz w:val="21"/>
    </w:rPr>
  </w:style>
  <w:style w:type="character" w:customStyle="1" w:styleId="258">
    <w:name w:val="标准文件_附录图标题 Char"/>
    <w:link w:val="91"/>
    <w:autoRedefine/>
    <w:qFormat/>
    <w:uiPriority w:val="0"/>
    <w:rPr>
      <w:rFonts w:ascii="黑体" w:eastAsia="黑体"/>
      <w:sz w:val="21"/>
    </w:rPr>
  </w:style>
  <w:style w:type="character" w:customStyle="1" w:styleId="259">
    <w:name w:val="标准文件_破折号列项 Char"/>
    <w:link w:val="100"/>
    <w:autoRedefine/>
    <w:qFormat/>
    <w:uiPriority w:val="0"/>
    <w:rPr>
      <w:sz w:val="21"/>
    </w:rPr>
  </w:style>
  <w:style w:type="character" w:customStyle="1" w:styleId="260">
    <w:name w:val="标准文件_一级条标题 Char"/>
    <w:link w:val="113"/>
    <w:autoRedefine/>
    <w:qFormat/>
    <w:uiPriority w:val="0"/>
    <w:rPr>
      <w:rFonts w:ascii="黑体" w:eastAsia="黑体"/>
      <w:sz w:val="21"/>
    </w:rPr>
  </w:style>
  <w:style w:type="character" w:customStyle="1" w:styleId="261">
    <w:name w:val="标准文件_编号列项（三级） Char"/>
    <w:link w:val="125"/>
    <w:autoRedefine/>
    <w:qFormat/>
    <w:uiPriority w:val="0"/>
    <w:rPr>
      <w:rFonts w:ascii="宋体"/>
      <w:sz w:val="21"/>
    </w:rPr>
  </w:style>
  <w:style w:type="character" w:customStyle="1" w:styleId="262">
    <w:name w:val="标准文件_示例： Char"/>
    <w:link w:val="189"/>
    <w:autoRedefine/>
    <w:qFormat/>
    <w:uiPriority w:val="0"/>
    <w:rPr>
      <w:rFonts w:ascii="宋体"/>
      <w:sz w:val="18"/>
      <w:szCs w:val="18"/>
    </w:rPr>
  </w:style>
  <w:style w:type="character" w:customStyle="1" w:styleId="263">
    <w:name w:val="标准文件_引言三级条标题 Char"/>
    <w:link w:val="210"/>
    <w:autoRedefine/>
    <w:qFormat/>
    <w:uiPriority w:val="0"/>
    <w:rPr>
      <w:rFonts w:ascii="黑体" w:eastAsia="黑体"/>
      <w:sz w:val="21"/>
    </w:rPr>
  </w:style>
  <w:style w:type="character" w:customStyle="1" w:styleId="264">
    <w:name w:val="标准文件_附录一级无标题 Char"/>
    <w:link w:val="219"/>
    <w:autoRedefine/>
    <w:qFormat/>
    <w:uiPriority w:val="0"/>
    <w:rPr>
      <w:rFonts w:ascii="宋体"/>
      <w:kern w:val="21"/>
      <w:sz w:val="21"/>
    </w:rPr>
  </w:style>
  <w:style w:type="character" w:customStyle="1" w:styleId="265">
    <w:name w:val="标准文件_附录五级无标题 Char"/>
    <w:link w:val="223"/>
    <w:autoRedefine/>
    <w:qFormat/>
    <w:uiPriority w:val="0"/>
    <w:rPr>
      <w:rFonts w:ascii="宋体"/>
      <w:kern w:val="21"/>
      <w:sz w:val="21"/>
    </w:rPr>
  </w:style>
  <w:style w:type="character" w:customStyle="1" w:styleId="266">
    <w:name w:val="标准文件_引言四级无标题 Char"/>
    <w:link w:val="227"/>
    <w:autoRedefine/>
    <w:qFormat/>
    <w:uiPriority w:val="0"/>
    <w:rPr>
      <w:rFonts w:ascii="宋体"/>
      <w:sz w:val="21"/>
    </w:rPr>
  </w:style>
  <w:style w:type="character" w:customStyle="1" w:styleId="267">
    <w:name w:val="标准文件_术语条一 Char"/>
    <w:link w:val="231"/>
    <w:autoRedefine/>
    <w:qFormat/>
    <w:uiPriority w:val="0"/>
    <w:rPr>
      <w:rFonts w:ascii="宋体"/>
      <w:sz w:val="21"/>
    </w:rPr>
  </w:style>
  <w:style w:type="character" w:customStyle="1" w:styleId="268">
    <w:name w:val="标准文件_术语条五 Char"/>
    <w:link w:val="235"/>
    <w:autoRedefine/>
    <w:qFormat/>
    <w:uiPriority w:val="0"/>
    <w:rPr>
      <w:rFonts w:hAnsi="宋体" w:eastAsia="宋体"/>
    </w:rPr>
  </w:style>
  <w:style w:type="paragraph" w:customStyle="1" w:styleId="269">
    <w:name w:val="修订7"/>
    <w:autoRedefine/>
    <w:hidden/>
    <w:unhideWhenUsed/>
    <w:qFormat/>
    <w:uiPriority w:val="99"/>
    <w:rPr>
      <w:rFonts w:ascii="Calibri" w:hAnsi="Calibri" w:eastAsia="宋体" w:cs="Times New Roman"/>
      <w:kern w:val="2"/>
      <w:sz w:val="21"/>
      <w:szCs w:val="21"/>
      <w:lang w:val="en-US" w:eastAsia="zh-CN" w:bidi="ar-SA"/>
    </w:rPr>
  </w:style>
  <w:style w:type="character" w:customStyle="1" w:styleId="270">
    <w:name w:val="未处理的提及1"/>
    <w:basedOn w:val="35"/>
    <w:autoRedefine/>
    <w:semiHidden/>
    <w:unhideWhenUsed/>
    <w:qFormat/>
    <w:uiPriority w:val="99"/>
    <w:rPr>
      <w:color w:val="605E5C"/>
      <w:shd w:val="clear" w:color="auto" w:fill="E1DFDD"/>
    </w:rPr>
  </w:style>
  <w:style w:type="paragraph" w:customStyle="1" w:styleId="271">
    <w:name w:val="修订8"/>
    <w:autoRedefine/>
    <w:hidden/>
    <w:unhideWhenUsed/>
    <w:qFormat/>
    <w:uiPriority w:val="99"/>
    <w:rPr>
      <w:rFonts w:ascii="Calibri" w:hAnsi="Calibri" w:eastAsia="宋体" w:cs="Times New Roman"/>
      <w:kern w:val="2"/>
      <w:sz w:val="21"/>
      <w:szCs w:val="21"/>
      <w:lang w:val="en-US" w:eastAsia="zh-CN" w:bidi="ar-SA"/>
    </w:rPr>
  </w:style>
  <w:style w:type="character" w:customStyle="1" w:styleId="272">
    <w:name w:val="未处理的提及2"/>
    <w:basedOn w:val="35"/>
    <w:autoRedefine/>
    <w:semiHidden/>
    <w:unhideWhenUsed/>
    <w:qFormat/>
    <w:uiPriority w:val="99"/>
    <w:rPr>
      <w:color w:val="605E5C"/>
      <w:shd w:val="clear" w:color="auto" w:fill="E1DFDD"/>
    </w:rPr>
  </w:style>
  <w:style w:type="paragraph" w:customStyle="1" w:styleId="273">
    <w:name w:val="修订9"/>
    <w:autoRedefine/>
    <w:hidden/>
    <w:unhideWhenUsed/>
    <w:qFormat/>
    <w:uiPriority w:val="99"/>
    <w:rPr>
      <w:rFonts w:ascii="Calibri" w:hAnsi="Calibri" w:eastAsia="宋体" w:cs="Times New Roman"/>
      <w:kern w:val="2"/>
      <w:sz w:val="21"/>
      <w:szCs w:val="21"/>
      <w:lang w:val="en-US" w:eastAsia="zh-CN" w:bidi="ar-SA"/>
    </w:rPr>
  </w:style>
  <w:style w:type="paragraph" w:customStyle="1" w:styleId="274">
    <w:name w:val="修订10"/>
    <w:autoRedefine/>
    <w:hidden/>
    <w:unhideWhenUsed/>
    <w:qFormat/>
    <w:uiPriority w:val="99"/>
    <w:rPr>
      <w:rFonts w:ascii="Calibri" w:hAnsi="Calibri" w:eastAsia="宋体" w:cs="Times New Roman"/>
      <w:kern w:val="2"/>
      <w:sz w:val="21"/>
      <w:szCs w:val="21"/>
      <w:lang w:val="en-US" w:eastAsia="zh-CN" w:bidi="ar-SA"/>
    </w:rPr>
  </w:style>
  <w:style w:type="paragraph" w:customStyle="1" w:styleId="275">
    <w:name w:val="修订11"/>
    <w:autoRedefine/>
    <w:hidden/>
    <w:unhideWhenUsed/>
    <w:qFormat/>
    <w:uiPriority w:val="99"/>
    <w:rPr>
      <w:rFonts w:ascii="Calibri" w:hAnsi="Calibri" w:eastAsia="宋体" w:cs="Times New Roman"/>
      <w:kern w:val="2"/>
      <w:sz w:val="21"/>
      <w:szCs w:val="21"/>
      <w:lang w:val="en-US" w:eastAsia="zh-CN" w:bidi="ar-SA"/>
    </w:rPr>
  </w:style>
  <w:style w:type="paragraph" w:customStyle="1" w:styleId="276">
    <w:name w:val="修订12"/>
    <w:autoRedefine/>
    <w:hidden/>
    <w:unhideWhenUsed/>
    <w:qFormat/>
    <w:uiPriority w:val="99"/>
    <w:rPr>
      <w:rFonts w:ascii="Calibri" w:hAnsi="Calibri" w:eastAsia="宋体" w:cs="Times New Roman"/>
      <w:kern w:val="2"/>
      <w:sz w:val="21"/>
      <w:szCs w:val="21"/>
      <w:lang w:val="en-US" w:eastAsia="zh-CN" w:bidi="ar-SA"/>
    </w:rPr>
  </w:style>
  <w:style w:type="paragraph" w:customStyle="1" w:styleId="277">
    <w:name w:val="修订13"/>
    <w:autoRedefine/>
    <w:hidden/>
    <w:unhideWhenUsed/>
    <w:qFormat/>
    <w:uiPriority w:val="99"/>
    <w:rPr>
      <w:rFonts w:ascii="Calibri" w:hAnsi="Calibri" w:eastAsia="宋体" w:cs="Times New Roman"/>
      <w:kern w:val="2"/>
      <w:sz w:val="21"/>
      <w:szCs w:val="21"/>
      <w:lang w:val="en-US" w:eastAsia="zh-CN" w:bidi="ar-SA"/>
    </w:rPr>
  </w:style>
  <w:style w:type="paragraph" w:customStyle="1" w:styleId="278">
    <w:name w:val="修订14"/>
    <w:autoRedefine/>
    <w:hidden/>
    <w:unhideWhenUsed/>
    <w:qFormat/>
    <w:uiPriority w:val="99"/>
    <w:rPr>
      <w:rFonts w:ascii="Calibri" w:hAnsi="Calibri" w:eastAsia="宋体" w:cs="Times New Roman"/>
      <w:kern w:val="2"/>
      <w:sz w:val="21"/>
      <w:szCs w:val="21"/>
      <w:lang w:val="en-US" w:eastAsia="zh-CN" w:bidi="ar-SA"/>
    </w:rPr>
  </w:style>
  <w:style w:type="paragraph" w:customStyle="1" w:styleId="279">
    <w:name w:val="注释"/>
    <w:basedOn w:val="64"/>
    <w:link w:val="280"/>
    <w:autoRedefine/>
    <w:qFormat/>
    <w:uiPriority w:val="0"/>
    <w:pPr>
      <w:ind w:left="200" w:leftChars="200"/>
    </w:pPr>
    <w:rPr>
      <w:bCs/>
      <w:sz w:val="18"/>
    </w:rPr>
  </w:style>
  <w:style w:type="character" w:customStyle="1" w:styleId="280">
    <w:name w:val="注释 字符"/>
    <w:basedOn w:val="192"/>
    <w:link w:val="279"/>
    <w:autoRedefine/>
    <w:qFormat/>
    <w:uiPriority w:val="0"/>
    <w:rPr>
      <w:rFonts w:ascii="宋体"/>
      <w:bCs/>
      <w:sz w:val="18"/>
    </w:rPr>
  </w:style>
  <w:style w:type="paragraph" w:styleId="281">
    <w:name w:val="List Paragraph"/>
    <w:basedOn w:val="1"/>
    <w:autoRedefine/>
    <w:unhideWhenUsed/>
    <w:qFormat/>
    <w:uiPriority w:val="99"/>
    <w:pPr>
      <w:ind w:firstLine="420" w:firstLineChars="200"/>
    </w:pPr>
  </w:style>
  <w:style w:type="paragraph" w:customStyle="1" w:styleId="282">
    <w:name w:val="修订15"/>
    <w:autoRedefine/>
    <w:hidden/>
    <w:unhideWhenUsed/>
    <w:qFormat/>
    <w:uiPriority w:val="99"/>
    <w:rPr>
      <w:rFonts w:ascii="Calibri" w:hAnsi="Calibri" w:eastAsia="宋体" w:cs="Times New Roman"/>
      <w:kern w:val="2"/>
      <w:sz w:val="21"/>
      <w:szCs w:val="21"/>
      <w:lang w:val="en-US" w:eastAsia="zh-CN" w:bidi="ar-SA"/>
    </w:rPr>
  </w:style>
  <w:style w:type="character" w:customStyle="1" w:styleId="283">
    <w:name w:val="未处理的提及3"/>
    <w:basedOn w:val="35"/>
    <w:autoRedefine/>
    <w:semiHidden/>
    <w:unhideWhenUsed/>
    <w:qFormat/>
    <w:uiPriority w:val="99"/>
    <w:rPr>
      <w:color w:val="605E5C"/>
      <w:shd w:val="clear" w:color="auto" w:fill="E1DFDD"/>
    </w:rPr>
  </w:style>
  <w:style w:type="character" w:customStyle="1" w:styleId="284">
    <w:name w:val="未处理的提及4"/>
    <w:basedOn w:val="35"/>
    <w:autoRedefine/>
    <w:semiHidden/>
    <w:unhideWhenUsed/>
    <w:qFormat/>
    <w:uiPriority w:val="99"/>
    <w:rPr>
      <w:color w:val="605E5C"/>
      <w:shd w:val="clear" w:color="auto" w:fill="E1DFDD"/>
    </w:rPr>
  </w:style>
  <w:style w:type="paragraph" w:customStyle="1" w:styleId="285">
    <w:name w:val="标题1.1"/>
    <w:basedOn w:val="2"/>
    <w:link w:val="291"/>
    <w:autoRedefine/>
    <w:qFormat/>
    <w:uiPriority w:val="0"/>
    <w:pPr>
      <w:keepNext w:val="0"/>
      <w:keepLines w:val="0"/>
      <w:numPr>
        <w:ilvl w:val="0"/>
        <w:numId w:val="31"/>
      </w:numPr>
      <w:tabs>
        <w:tab w:val="left" w:pos="839"/>
      </w:tabs>
      <w:adjustRightInd/>
      <w:spacing w:beforeLines="50" w:afterLines="50" w:line="360" w:lineRule="auto"/>
    </w:pPr>
    <w:rPr>
      <w:rFonts w:ascii="Times New Roman" w:hAnsi="Times New Roman"/>
      <w:sz w:val="24"/>
      <w:szCs w:val="24"/>
    </w:rPr>
  </w:style>
  <w:style w:type="paragraph" w:customStyle="1" w:styleId="286">
    <w:name w:val="标题2.1"/>
    <w:basedOn w:val="285"/>
    <w:link w:val="292"/>
    <w:autoRedefine/>
    <w:qFormat/>
    <w:uiPriority w:val="0"/>
    <w:pPr>
      <w:numPr>
        <w:ilvl w:val="1"/>
      </w:numPr>
      <w:spacing w:beforeLines="0" w:afterLines="0" w:line="240" w:lineRule="auto"/>
      <w:outlineLvl w:val="1"/>
    </w:pPr>
  </w:style>
  <w:style w:type="paragraph" w:customStyle="1" w:styleId="287">
    <w:name w:val="标题2.2"/>
    <w:basedOn w:val="239"/>
    <w:autoRedefine/>
    <w:qFormat/>
    <w:uiPriority w:val="0"/>
    <w:pPr>
      <w:numPr>
        <w:ilvl w:val="0"/>
        <w:numId w:val="32"/>
      </w:numPr>
      <w:tabs>
        <w:tab w:val="clear" w:pos="4201"/>
        <w:tab w:val="clear" w:pos="9298"/>
      </w:tabs>
      <w:autoSpaceDE/>
      <w:autoSpaceDN/>
      <w:spacing w:before="260" w:after="260"/>
      <w:ind w:firstLineChars="0"/>
      <w:outlineLvl w:val="1"/>
    </w:pPr>
    <w:rPr>
      <w:rFonts w:ascii="Times New Roman" w:cs="黑体"/>
      <w:b/>
      <w:sz w:val="24"/>
    </w:rPr>
  </w:style>
  <w:style w:type="paragraph" w:customStyle="1" w:styleId="288">
    <w:name w:val="标题3.1"/>
    <w:basedOn w:val="286"/>
    <w:link w:val="293"/>
    <w:autoRedefine/>
    <w:qFormat/>
    <w:uiPriority w:val="0"/>
    <w:pPr>
      <w:numPr>
        <w:ilvl w:val="2"/>
      </w:numPr>
      <w:tabs>
        <w:tab w:val="clear" w:pos="839"/>
      </w:tabs>
      <w:spacing w:before="0" w:after="0" w:line="360" w:lineRule="auto"/>
      <w:outlineLvl w:val="2"/>
    </w:pPr>
  </w:style>
  <w:style w:type="paragraph" w:customStyle="1" w:styleId="289">
    <w:name w:val="标题4.1"/>
    <w:basedOn w:val="288"/>
    <w:link w:val="294"/>
    <w:autoRedefine/>
    <w:qFormat/>
    <w:uiPriority w:val="0"/>
    <w:pPr>
      <w:numPr>
        <w:ilvl w:val="3"/>
      </w:numPr>
    </w:pPr>
  </w:style>
  <w:style w:type="paragraph" w:customStyle="1" w:styleId="290">
    <w:name w:val="TOC 标题1"/>
    <w:basedOn w:val="2"/>
    <w:next w:val="1"/>
    <w:autoRedefine/>
    <w:unhideWhenUsed/>
    <w:qFormat/>
    <w:uiPriority w:val="39"/>
    <w:pPr>
      <w:widowControl/>
      <w:adjustRightInd/>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291">
    <w:name w:val="标题1.1 Char"/>
    <w:basedOn w:val="43"/>
    <w:link w:val="285"/>
    <w:autoRedefine/>
    <w:qFormat/>
    <w:uiPriority w:val="0"/>
    <w:rPr>
      <w:kern w:val="44"/>
      <w:sz w:val="24"/>
      <w:szCs w:val="24"/>
    </w:rPr>
  </w:style>
  <w:style w:type="character" w:customStyle="1" w:styleId="292">
    <w:name w:val="标题2.1 Char"/>
    <w:basedOn w:val="291"/>
    <w:link w:val="286"/>
    <w:autoRedefine/>
    <w:qFormat/>
    <w:uiPriority w:val="0"/>
    <w:rPr>
      <w:kern w:val="44"/>
      <w:sz w:val="24"/>
      <w:szCs w:val="24"/>
    </w:rPr>
  </w:style>
  <w:style w:type="character" w:customStyle="1" w:styleId="293">
    <w:name w:val="标题3.1 Char"/>
    <w:basedOn w:val="292"/>
    <w:link w:val="288"/>
    <w:autoRedefine/>
    <w:qFormat/>
    <w:uiPriority w:val="0"/>
    <w:rPr>
      <w:kern w:val="44"/>
      <w:sz w:val="24"/>
      <w:szCs w:val="24"/>
    </w:rPr>
  </w:style>
  <w:style w:type="character" w:customStyle="1" w:styleId="294">
    <w:name w:val="标题4.1 Char"/>
    <w:basedOn w:val="293"/>
    <w:link w:val="289"/>
    <w:autoRedefine/>
    <w:qFormat/>
    <w:uiPriority w:val="0"/>
    <w:rPr>
      <w:kern w:val="44"/>
      <w:sz w:val="24"/>
      <w:szCs w:val="24"/>
    </w:rPr>
  </w:style>
  <w:style w:type="paragraph" w:customStyle="1" w:styleId="295">
    <w:name w:val="表格标题"/>
    <w:basedOn w:val="1"/>
    <w:autoRedefine/>
    <w:qFormat/>
    <w:uiPriority w:val="0"/>
    <w:pPr>
      <w:jc w:val="center"/>
    </w:pPr>
    <w:rPr>
      <w:rFonts w:hint="eastAsia"/>
      <w:b/>
      <w:bCs/>
      <w:sz w:val="18"/>
      <w:szCs w:val="18"/>
    </w:rPr>
  </w:style>
  <w:style w:type="paragraph" w:customStyle="1" w:styleId="296">
    <w:name w:val="标准书眉_偶数页"/>
    <w:basedOn w:val="1"/>
    <w:next w:val="1"/>
    <w:autoRedefine/>
    <w:qFormat/>
    <w:uiPriority w:val="99"/>
    <w:pPr>
      <w:widowControl/>
      <w:tabs>
        <w:tab w:val="center" w:pos="4154"/>
        <w:tab w:val="right" w:pos="8306"/>
      </w:tabs>
      <w:spacing w:after="120"/>
      <w:jc w:val="left"/>
    </w:pPr>
    <w:rPr>
      <w:rFonts w:ascii="Times New Roman" w:hAnsi="Times New Roman"/>
      <w:kern w:val="0"/>
      <w:szCs w:val="20"/>
    </w:rPr>
  </w:style>
  <w:style w:type="paragraph" w:customStyle="1" w:styleId="297">
    <w:name w:val="章标题"/>
    <w:next w:val="239"/>
    <w:autoRedefine/>
    <w:qFormat/>
    <w:uiPriority w:val="0"/>
    <w:pPr>
      <w:numPr>
        <w:ilvl w:val="0"/>
        <w:numId w:val="33"/>
      </w:numPr>
      <w:spacing w:beforeLines="100" w:afterLines="100"/>
      <w:jc w:val="both"/>
      <w:outlineLvl w:val="1"/>
    </w:pPr>
    <w:rPr>
      <w:rFonts w:ascii="黑体" w:hAnsi="Times New Roman" w:eastAsia="黑体" w:cs="Times New Roman"/>
      <w:sz w:val="21"/>
      <w:lang w:val="en-US" w:eastAsia="zh-CN" w:bidi="ar-SA"/>
    </w:rPr>
  </w:style>
  <w:style w:type="paragraph" w:customStyle="1" w:styleId="298">
    <w:name w:val="修订16"/>
    <w:autoRedefine/>
    <w:hidden/>
    <w:unhideWhenUsed/>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glossaryDocument" Target="glossary/document.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62EA7D66A31440DA48B8C013315E1E1"/>
        <w:style w:val=""/>
        <w:category>
          <w:name w:val="常规"/>
          <w:gallery w:val="placeholder"/>
        </w:category>
        <w:types>
          <w:type w:val="bbPlcHdr"/>
        </w:types>
        <w:behaviors>
          <w:behavior w:val="content"/>
        </w:behaviors>
        <w:description w:val=""/>
        <w:guid w:val="{21CC811C-94AE-4498-8C25-D42283C068AF}"/>
      </w:docPartPr>
      <w:docPartBody>
        <w:p>
          <w:pPr>
            <w:pStyle w:val="5"/>
            <w:rPr>
              <w:rFonts w:hint="eastAsia"/>
            </w:rPr>
          </w:pPr>
          <w:r>
            <w:rPr>
              <w:rStyle w:val="4"/>
              <w:rFonts w:hint="eastAsia"/>
            </w:rPr>
            <w:t>单击或点击此处输入文字。</w:t>
          </w:r>
        </w:p>
      </w:docPartBody>
    </w:docPart>
    <w:docPart>
      <w:docPartPr>
        <w:name w:val="35CA5F3C17B548DCA4AE54FE999D5925"/>
        <w:style w:val=""/>
        <w:category>
          <w:name w:val="常规"/>
          <w:gallery w:val="placeholder"/>
        </w:category>
        <w:types>
          <w:type w:val="bbPlcHdr"/>
        </w:types>
        <w:behaviors>
          <w:behavior w:val="content"/>
        </w:behaviors>
        <w:description w:val=""/>
        <w:guid w:val="{B4CF450C-5F73-4030-9F8E-ABD699ADCC39}"/>
      </w:docPartPr>
      <w:docPartBody>
        <w:p>
          <w:pPr>
            <w:pStyle w:val="6"/>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DF"/>
    <w:rsid w:val="00006624"/>
    <w:rsid w:val="00007A7C"/>
    <w:rsid w:val="00017A0B"/>
    <w:rsid w:val="0004451D"/>
    <w:rsid w:val="00063672"/>
    <w:rsid w:val="00067024"/>
    <w:rsid w:val="000721BB"/>
    <w:rsid w:val="000A79BE"/>
    <w:rsid w:val="000B36B1"/>
    <w:rsid w:val="000B765A"/>
    <w:rsid w:val="000C1ED9"/>
    <w:rsid w:val="000D5F21"/>
    <w:rsid w:val="000F5A24"/>
    <w:rsid w:val="00122A6F"/>
    <w:rsid w:val="001248E1"/>
    <w:rsid w:val="00125F53"/>
    <w:rsid w:val="00127370"/>
    <w:rsid w:val="00131BB6"/>
    <w:rsid w:val="001342DC"/>
    <w:rsid w:val="001478B3"/>
    <w:rsid w:val="001901E9"/>
    <w:rsid w:val="00192888"/>
    <w:rsid w:val="00196C2A"/>
    <w:rsid w:val="001A004F"/>
    <w:rsid w:val="001A550E"/>
    <w:rsid w:val="001A6A39"/>
    <w:rsid w:val="001C1DF5"/>
    <w:rsid w:val="001C4773"/>
    <w:rsid w:val="001E1CD4"/>
    <w:rsid w:val="0020467D"/>
    <w:rsid w:val="002046AD"/>
    <w:rsid w:val="00213A74"/>
    <w:rsid w:val="00221563"/>
    <w:rsid w:val="0024428E"/>
    <w:rsid w:val="0028237B"/>
    <w:rsid w:val="00293BEE"/>
    <w:rsid w:val="00294FA6"/>
    <w:rsid w:val="002A1BF5"/>
    <w:rsid w:val="002A2675"/>
    <w:rsid w:val="002A59C8"/>
    <w:rsid w:val="002D0B03"/>
    <w:rsid w:val="002D7D4E"/>
    <w:rsid w:val="002F002C"/>
    <w:rsid w:val="003346AC"/>
    <w:rsid w:val="00345A5B"/>
    <w:rsid w:val="00347006"/>
    <w:rsid w:val="00364E2F"/>
    <w:rsid w:val="00365940"/>
    <w:rsid w:val="00371F12"/>
    <w:rsid w:val="00374579"/>
    <w:rsid w:val="003764D7"/>
    <w:rsid w:val="00380854"/>
    <w:rsid w:val="003832C1"/>
    <w:rsid w:val="003A3DC8"/>
    <w:rsid w:val="003A4FEF"/>
    <w:rsid w:val="003B36D0"/>
    <w:rsid w:val="003C07F2"/>
    <w:rsid w:val="003D567B"/>
    <w:rsid w:val="003E14E7"/>
    <w:rsid w:val="003F1498"/>
    <w:rsid w:val="003F2206"/>
    <w:rsid w:val="003F6F16"/>
    <w:rsid w:val="004037D9"/>
    <w:rsid w:val="00416ECE"/>
    <w:rsid w:val="00417410"/>
    <w:rsid w:val="00426DDD"/>
    <w:rsid w:val="00430552"/>
    <w:rsid w:val="004315E5"/>
    <w:rsid w:val="00437939"/>
    <w:rsid w:val="00440CF8"/>
    <w:rsid w:val="0044701D"/>
    <w:rsid w:val="00451167"/>
    <w:rsid w:val="0045167F"/>
    <w:rsid w:val="004542FE"/>
    <w:rsid w:val="004550AA"/>
    <w:rsid w:val="004622D5"/>
    <w:rsid w:val="0046337E"/>
    <w:rsid w:val="00472ED9"/>
    <w:rsid w:val="00486FE2"/>
    <w:rsid w:val="004976B7"/>
    <w:rsid w:val="004A4C3E"/>
    <w:rsid w:val="004A6A8B"/>
    <w:rsid w:val="004C1033"/>
    <w:rsid w:val="004D6207"/>
    <w:rsid w:val="004D6539"/>
    <w:rsid w:val="004D6F3D"/>
    <w:rsid w:val="004E02D1"/>
    <w:rsid w:val="004F4D98"/>
    <w:rsid w:val="00506062"/>
    <w:rsid w:val="00510758"/>
    <w:rsid w:val="00513983"/>
    <w:rsid w:val="0051730C"/>
    <w:rsid w:val="0052481C"/>
    <w:rsid w:val="00533DBE"/>
    <w:rsid w:val="00541EF2"/>
    <w:rsid w:val="00553E6D"/>
    <w:rsid w:val="0055474B"/>
    <w:rsid w:val="00561BF0"/>
    <w:rsid w:val="00576D1C"/>
    <w:rsid w:val="005773E6"/>
    <w:rsid w:val="00592A2D"/>
    <w:rsid w:val="00597D01"/>
    <w:rsid w:val="005B3C3E"/>
    <w:rsid w:val="005B5199"/>
    <w:rsid w:val="005D70DF"/>
    <w:rsid w:val="005E274B"/>
    <w:rsid w:val="00611A1B"/>
    <w:rsid w:val="00621D08"/>
    <w:rsid w:val="00644960"/>
    <w:rsid w:val="0064649E"/>
    <w:rsid w:val="00646C82"/>
    <w:rsid w:val="00646EE1"/>
    <w:rsid w:val="00656646"/>
    <w:rsid w:val="0065730A"/>
    <w:rsid w:val="006710CE"/>
    <w:rsid w:val="00673F40"/>
    <w:rsid w:val="00674559"/>
    <w:rsid w:val="00683BAB"/>
    <w:rsid w:val="006847B8"/>
    <w:rsid w:val="00685E56"/>
    <w:rsid w:val="006A08D0"/>
    <w:rsid w:val="006A1339"/>
    <w:rsid w:val="006A2368"/>
    <w:rsid w:val="006B614C"/>
    <w:rsid w:val="006B7149"/>
    <w:rsid w:val="006C02C1"/>
    <w:rsid w:val="006C2ACB"/>
    <w:rsid w:val="006C54B0"/>
    <w:rsid w:val="006C673F"/>
    <w:rsid w:val="006D1CDB"/>
    <w:rsid w:val="006D3AC8"/>
    <w:rsid w:val="006E1D4F"/>
    <w:rsid w:val="006F3D64"/>
    <w:rsid w:val="00701970"/>
    <w:rsid w:val="00706E81"/>
    <w:rsid w:val="00711363"/>
    <w:rsid w:val="0071148F"/>
    <w:rsid w:val="00720B15"/>
    <w:rsid w:val="00730802"/>
    <w:rsid w:val="00744251"/>
    <w:rsid w:val="00751387"/>
    <w:rsid w:val="00752E8C"/>
    <w:rsid w:val="00761ADE"/>
    <w:rsid w:val="00765863"/>
    <w:rsid w:val="007663B6"/>
    <w:rsid w:val="00773FD6"/>
    <w:rsid w:val="007A0EC3"/>
    <w:rsid w:val="007A51DB"/>
    <w:rsid w:val="007B3C68"/>
    <w:rsid w:val="007B403A"/>
    <w:rsid w:val="007C422B"/>
    <w:rsid w:val="007C612F"/>
    <w:rsid w:val="007D0987"/>
    <w:rsid w:val="007D7267"/>
    <w:rsid w:val="007E0C2D"/>
    <w:rsid w:val="007E368F"/>
    <w:rsid w:val="007E52FB"/>
    <w:rsid w:val="007F270E"/>
    <w:rsid w:val="00812B5D"/>
    <w:rsid w:val="008134BC"/>
    <w:rsid w:val="008153C7"/>
    <w:rsid w:val="008237FD"/>
    <w:rsid w:val="00824C4D"/>
    <w:rsid w:val="00825F55"/>
    <w:rsid w:val="00827AEF"/>
    <w:rsid w:val="00830E48"/>
    <w:rsid w:val="00842DBA"/>
    <w:rsid w:val="00857F92"/>
    <w:rsid w:val="00872021"/>
    <w:rsid w:val="008730E1"/>
    <w:rsid w:val="00874321"/>
    <w:rsid w:val="00884AE0"/>
    <w:rsid w:val="00886E4F"/>
    <w:rsid w:val="00894103"/>
    <w:rsid w:val="00894C06"/>
    <w:rsid w:val="008B79D9"/>
    <w:rsid w:val="008B7D04"/>
    <w:rsid w:val="008C28D5"/>
    <w:rsid w:val="008D2E2F"/>
    <w:rsid w:val="008E641A"/>
    <w:rsid w:val="008F7FA4"/>
    <w:rsid w:val="00904DF8"/>
    <w:rsid w:val="00906D26"/>
    <w:rsid w:val="00906F9E"/>
    <w:rsid w:val="00911F5A"/>
    <w:rsid w:val="00914955"/>
    <w:rsid w:val="0091695C"/>
    <w:rsid w:val="00920850"/>
    <w:rsid w:val="009208A6"/>
    <w:rsid w:val="00923D4E"/>
    <w:rsid w:val="00933633"/>
    <w:rsid w:val="00940323"/>
    <w:rsid w:val="00956E0F"/>
    <w:rsid w:val="00957924"/>
    <w:rsid w:val="00960E7B"/>
    <w:rsid w:val="00974E2C"/>
    <w:rsid w:val="00996E33"/>
    <w:rsid w:val="009B0C69"/>
    <w:rsid w:val="009B18C5"/>
    <w:rsid w:val="009B4FFA"/>
    <w:rsid w:val="009C48FC"/>
    <w:rsid w:val="009E1F47"/>
    <w:rsid w:val="009E2C26"/>
    <w:rsid w:val="009E4654"/>
    <w:rsid w:val="009F1BCA"/>
    <w:rsid w:val="009F3D8B"/>
    <w:rsid w:val="00A0054F"/>
    <w:rsid w:val="00A0550F"/>
    <w:rsid w:val="00A11638"/>
    <w:rsid w:val="00A13412"/>
    <w:rsid w:val="00A25129"/>
    <w:rsid w:val="00A33D32"/>
    <w:rsid w:val="00A34758"/>
    <w:rsid w:val="00A45333"/>
    <w:rsid w:val="00A50B82"/>
    <w:rsid w:val="00A573EC"/>
    <w:rsid w:val="00A63DD0"/>
    <w:rsid w:val="00A74150"/>
    <w:rsid w:val="00A8025D"/>
    <w:rsid w:val="00A94FFC"/>
    <w:rsid w:val="00A96177"/>
    <w:rsid w:val="00AB6AF2"/>
    <w:rsid w:val="00AD781E"/>
    <w:rsid w:val="00AD7FBD"/>
    <w:rsid w:val="00AE48E5"/>
    <w:rsid w:val="00AE776A"/>
    <w:rsid w:val="00AF3C0E"/>
    <w:rsid w:val="00AF55DB"/>
    <w:rsid w:val="00AF7061"/>
    <w:rsid w:val="00AF7FE5"/>
    <w:rsid w:val="00B0143F"/>
    <w:rsid w:val="00B05AA0"/>
    <w:rsid w:val="00B22DB8"/>
    <w:rsid w:val="00B262F8"/>
    <w:rsid w:val="00B31DDB"/>
    <w:rsid w:val="00B444DC"/>
    <w:rsid w:val="00B52F47"/>
    <w:rsid w:val="00B66F64"/>
    <w:rsid w:val="00B7723C"/>
    <w:rsid w:val="00B81829"/>
    <w:rsid w:val="00B87CD9"/>
    <w:rsid w:val="00BB31C6"/>
    <w:rsid w:val="00BF0E80"/>
    <w:rsid w:val="00C03DF6"/>
    <w:rsid w:val="00C14F10"/>
    <w:rsid w:val="00C27FF1"/>
    <w:rsid w:val="00C31F06"/>
    <w:rsid w:val="00C86ACC"/>
    <w:rsid w:val="00C929FC"/>
    <w:rsid w:val="00CA26B5"/>
    <w:rsid w:val="00CB3174"/>
    <w:rsid w:val="00CC223A"/>
    <w:rsid w:val="00CD1288"/>
    <w:rsid w:val="00CE00EB"/>
    <w:rsid w:val="00CF02F5"/>
    <w:rsid w:val="00CF0D8B"/>
    <w:rsid w:val="00D027E5"/>
    <w:rsid w:val="00D155F4"/>
    <w:rsid w:val="00D312C5"/>
    <w:rsid w:val="00D37F7F"/>
    <w:rsid w:val="00D44375"/>
    <w:rsid w:val="00D472D6"/>
    <w:rsid w:val="00D56B58"/>
    <w:rsid w:val="00D607AC"/>
    <w:rsid w:val="00D702D8"/>
    <w:rsid w:val="00D75524"/>
    <w:rsid w:val="00D94CB8"/>
    <w:rsid w:val="00D95672"/>
    <w:rsid w:val="00DA3936"/>
    <w:rsid w:val="00DA59CF"/>
    <w:rsid w:val="00DC2FB2"/>
    <w:rsid w:val="00DD040C"/>
    <w:rsid w:val="00DE32D4"/>
    <w:rsid w:val="00DE37D3"/>
    <w:rsid w:val="00DE3AC7"/>
    <w:rsid w:val="00DF6F6B"/>
    <w:rsid w:val="00E06EDF"/>
    <w:rsid w:val="00E46944"/>
    <w:rsid w:val="00E51DD1"/>
    <w:rsid w:val="00E6006C"/>
    <w:rsid w:val="00E62BB5"/>
    <w:rsid w:val="00E64988"/>
    <w:rsid w:val="00E65B88"/>
    <w:rsid w:val="00E82BD3"/>
    <w:rsid w:val="00E85636"/>
    <w:rsid w:val="00E902D2"/>
    <w:rsid w:val="00EB1D44"/>
    <w:rsid w:val="00EB22F6"/>
    <w:rsid w:val="00EB6FEE"/>
    <w:rsid w:val="00EB7344"/>
    <w:rsid w:val="00EC39F7"/>
    <w:rsid w:val="00ED28FB"/>
    <w:rsid w:val="00ED6838"/>
    <w:rsid w:val="00EE323E"/>
    <w:rsid w:val="00EF4C86"/>
    <w:rsid w:val="00F10663"/>
    <w:rsid w:val="00F14D34"/>
    <w:rsid w:val="00F20D9B"/>
    <w:rsid w:val="00F225F6"/>
    <w:rsid w:val="00F31B98"/>
    <w:rsid w:val="00F33051"/>
    <w:rsid w:val="00F4257A"/>
    <w:rsid w:val="00F4339B"/>
    <w:rsid w:val="00F4665E"/>
    <w:rsid w:val="00F54902"/>
    <w:rsid w:val="00F55D3F"/>
    <w:rsid w:val="00F614F6"/>
    <w:rsid w:val="00F64E84"/>
    <w:rsid w:val="00F74E55"/>
    <w:rsid w:val="00F81BC3"/>
    <w:rsid w:val="00FA702F"/>
    <w:rsid w:val="00FC0695"/>
    <w:rsid w:val="00FD1B8F"/>
    <w:rsid w:val="00FE2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D62EA7D66A31440DA48B8C013315E1E1"/>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5CA5F3C17B548DCA4AE54FE999D592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9A95AC-56B2-4E1E-9476-3A161852858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33</Pages>
  <Words>3717</Words>
  <Characters>21192</Characters>
  <Lines>176</Lines>
  <Paragraphs>49</Paragraphs>
  <TotalTime>32</TotalTime>
  <ScaleCrop>false</ScaleCrop>
  <LinksUpToDate>false</LinksUpToDate>
  <CharactersWithSpaces>24860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2023-11-22T03:57:00Z</dcterms:created>
  <dc:creator>赖启慧</dc:creator>
  <dc:description>&lt;config cover="true" show_menu="true" version="1.0.0" doctype="SDKXY"&gt;_x000d_
&lt;/config&gt;</dc:description>
  <cp:lastModifiedBy>小陈</cp:lastModifiedBy>
  <cp:lastPrinted>2024-06-03T01:02:00Z</cp:lastPrinted>
  <dcterms:modified xsi:type="dcterms:W3CDTF">2024-11-21T03:22:08Z</dcterms:modified>
  <dc:title>地方标准</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2052-12.1.0.16417</vt:lpwstr>
  </property>
  <property fmtid="{D5CDD505-2E9C-101B-9397-08002B2CF9AE}" pid="16" name="ICV">
    <vt:lpwstr>BFF8CCDF1773496A8DA7BC5AD65602A0_13</vt:lpwstr>
  </property>
</Properties>
</file>