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both"/>
        <w:outlineLvl w:val="1"/>
        <w:rPr>
          <w:rFonts w:hint="eastAsia" w:ascii="黑体" w:hAnsi="黑体" w:eastAsia="黑体" w:cs="黑体"/>
          <w:sz w:val="32"/>
          <w:szCs w:val="32"/>
          <w:lang w:val="en-US" w:eastAsia="zh-CN"/>
        </w:rPr>
      </w:pPr>
      <w:bookmarkStart w:id="0" w:name="_Toc149088424"/>
      <w:bookmarkStart w:id="1" w:name="_Toc149086868"/>
      <w:bookmarkStart w:id="8" w:name="_GoBack"/>
      <w:bookmarkEnd w:id="8"/>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ind w:firstLine="0" w:firstLineChars="0"/>
        <w:jc w:val="both"/>
        <w:outlineLvl w:val="1"/>
        <w:rPr>
          <w:rFonts w:hint="eastAsia" w:ascii="黑体" w:hAnsi="黑体" w:eastAsia="黑体" w:cs="黑体"/>
          <w:sz w:val="32"/>
          <w:szCs w:val="32"/>
          <w:lang w:val="en-US" w:eastAsia="zh-CN"/>
        </w:rPr>
      </w:pPr>
    </w:p>
    <w:p>
      <w:pPr>
        <w:ind w:firstLine="0" w:firstLineChars="0"/>
        <w:jc w:val="center"/>
        <w:outlineLvl w:val="1"/>
        <w:rPr>
          <w:rFonts w:hint="eastAsia" w:ascii="方正小标宋简体" w:hAnsi="方正小标宋简体" w:eastAsia="方正小标宋简体" w:cstheme="majorBidi"/>
          <w:sz w:val="44"/>
          <w:szCs w:val="32"/>
        </w:rPr>
      </w:pPr>
      <w:r>
        <w:rPr>
          <w:rFonts w:hint="eastAsia" w:ascii="方正小标宋简体" w:hAnsi="方正小标宋简体" w:eastAsia="方正小标宋简体" w:cstheme="majorBidi"/>
          <w:sz w:val="44"/>
          <w:szCs w:val="32"/>
        </w:rPr>
        <w:t>《碳排放管理体系建设与评价指南》</w:t>
      </w:r>
    </w:p>
    <w:p>
      <w:pPr>
        <w:ind w:firstLine="0" w:firstLineChars="0"/>
        <w:jc w:val="center"/>
        <w:outlineLvl w:val="1"/>
        <w:rPr>
          <w:rFonts w:hint="eastAsia" w:ascii="方正小标宋简体" w:hAnsi="方正小标宋简体" w:eastAsia="方正小标宋简体" w:cstheme="majorBidi"/>
          <w:sz w:val="44"/>
          <w:szCs w:val="32"/>
        </w:rPr>
      </w:pPr>
      <w:r>
        <w:rPr>
          <w:rFonts w:hint="eastAsia" w:ascii="方正小标宋简体" w:hAnsi="方正小标宋简体" w:eastAsia="方正小标宋简体" w:cstheme="majorBidi"/>
          <w:sz w:val="44"/>
          <w:szCs w:val="32"/>
        </w:rPr>
        <w:t>编制说明</w:t>
      </w:r>
      <w:bookmarkEnd w:id="0"/>
      <w:bookmarkEnd w:id="1"/>
    </w:p>
    <w:p>
      <w:pPr>
        <w:ind w:firstLine="640"/>
        <w:rPr>
          <w:rFonts w:hint="eastAsia"/>
        </w:rPr>
      </w:pPr>
    </w:p>
    <w:p>
      <w:pPr>
        <w:ind w:firstLine="640"/>
        <w:rPr>
          <w:rFonts w:hint="eastAsia" w:ascii="黑体" w:hAnsi="黑体" w:eastAsia="黑体"/>
        </w:rPr>
      </w:pPr>
      <w:bookmarkStart w:id="2" w:name="_Toc149086869"/>
      <w:r>
        <w:rPr>
          <w:rFonts w:hint="eastAsia" w:ascii="黑体" w:hAnsi="黑体" w:eastAsia="黑体"/>
        </w:rPr>
        <w:t>一、项目背景</w:t>
      </w:r>
      <w:bookmarkEnd w:id="2"/>
    </w:p>
    <w:p>
      <w:pPr>
        <w:ind w:firstLine="640" w:firstLineChars="0"/>
        <w:rPr>
          <w:rFonts w:hint="eastAsia" w:ascii="楷体_GB2312" w:eastAsia="楷体_GB2312"/>
          <w:b/>
          <w:bCs/>
        </w:rPr>
      </w:pPr>
      <w:r>
        <w:rPr>
          <w:rFonts w:hint="eastAsia" w:ascii="楷体_GB2312" w:eastAsia="楷体_GB2312"/>
          <w:b/>
          <w:bCs/>
        </w:rPr>
        <w:t>（一</w:t>
      </w:r>
      <w:r>
        <w:rPr>
          <w:rFonts w:ascii="楷体_GB2312" w:eastAsia="楷体_GB2312"/>
          <w:b/>
          <w:bCs/>
        </w:rPr>
        <w:t>）</w:t>
      </w:r>
      <w:r>
        <w:rPr>
          <w:rFonts w:hint="eastAsia" w:ascii="楷体_GB2312" w:eastAsia="楷体_GB2312"/>
          <w:b/>
          <w:bCs/>
        </w:rPr>
        <w:t>地方标准制定的必要性和意义</w:t>
      </w:r>
    </w:p>
    <w:p>
      <w:pPr>
        <w:ind w:firstLine="640" w:firstLineChars="0"/>
        <w:rPr>
          <w:rFonts w:hint="eastAsia"/>
        </w:rPr>
      </w:pPr>
      <w:r>
        <w:t>2021年10月，</w:t>
      </w:r>
      <w:r>
        <w:rPr>
          <w:rFonts w:hint="eastAsia"/>
        </w:rPr>
        <w:t xml:space="preserve">中共中央 </w:t>
      </w:r>
      <w:r>
        <w:t>国务院</w:t>
      </w:r>
      <w:r>
        <w:rPr>
          <w:rFonts w:hint="eastAsia"/>
        </w:rPr>
        <w:t>发布的</w:t>
      </w:r>
      <w:r>
        <w:t>《关于完整准确全面贯彻新发展理念做好碳达峰碳中和工作的意见》（中发〔2021〕36 号）、《2030年前碳达峰行动方案》（国发[2021]23号）、《碳达峰碳中和标准体系建设指南》（国标委联〔2023〕19号）等文件</w:t>
      </w:r>
      <w:r>
        <w:rPr>
          <w:rFonts w:hint="eastAsia"/>
        </w:rPr>
        <w:t>均提出要</w:t>
      </w:r>
      <w:r>
        <w:t>健全法律法规标准，加快节能标准更新，建立组织绿色低碳评价标准、管理体系及实施评价等通用标准要求</w:t>
      </w:r>
      <w:r>
        <w:rPr>
          <w:rFonts w:hint="eastAsia"/>
        </w:rPr>
        <w:t>。</w:t>
      </w:r>
      <w:r>
        <w:t>完善的碳排放管理体系对于指导碳排放管理工作、推动绿色低碳发展转型、</w:t>
      </w:r>
      <w:r>
        <w:rPr>
          <w:rFonts w:hint="eastAsia"/>
        </w:rPr>
        <w:t>积极稳妥</w:t>
      </w:r>
      <w:r>
        <w:t>实现碳达峰意义重大。在气候变化与能源安全的双重压力下，组织</w:t>
      </w:r>
      <w:r>
        <w:rPr>
          <w:rFonts w:hint="eastAsia"/>
        </w:rPr>
        <w:t>亟需构建系统科学的碳排放管理体系，为碳达峰碳中和发展目标提供制度保障。2024年8月，国务院办公厅印发《加快构建碳排放双控制度体系工作方案》，进一步明确应建立健全企业碳管理制度，为实现碳达峰碳中和目标提供有力保障。</w:t>
      </w:r>
    </w:p>
    <w:p>
      <w:pPr>
        <w:ind w:firstLine="640"/>
        <w:rPr>
          <w:rFonts w:hint="eastAsia"/>
        </w:rPr>
      </w:pPr>
      <w:r>
        <w:rPr>
          <w:rFonts w:hint="eastAsia"/>
        </w:rPr>
        <w:t>在面临全球气候变化对环境和社会带来的严峻挑战下，《碳管理指南》地标的制定至关重要，可以更好地结合深圳市实际情况指导深圳市内的组织建设碳排放管理体系，提高碳排放管理意识，应对包括碳关税、绿色供应链管理在内的多重挑战。《碳管理指南》地标通过</w:t>
      </w:r>
      <w:r>
        <w:rPr>
          <w:rFonts w:hint="eastAsia" w:ascii="宋体" w:hAnsi="宋体"/>
        </w:rPr>
        <w:t>将前期碳排放管理体系建设要求与后期实施情况评价方法相结合，可为组织提供全方位的碳排放管理体系建设与成效评价的标准依据，促进组织可持续发展。</w:t>
      </w:r>
    </w:p>
    <w:p>
      <w:pPr>
        <w:ind w:firstLine="640"/>
        <w:rPr>
          <w:rFonts w:hint="eastAsia"/>
        </w:rPr>
      </w:pPr>
      <w:r>
        <w:rPr>
          <w:rFonts w:hint="eastAsia"/>
        </w:rPr>
        <w:t>此外，标准还可以为有关主管部门评价组织碳排放管理体系提供标准依据，便于主管部门遴选先进做法，形成典范案例在市内推广学习，全面推进深圳市内组织碳排放管理体系建设。</w:t>
      </w:r>
    </w:p>
    <w:p>
      <w:pPr>
        <w:ind w:firstLine="640" w:firstLineChars="0"/>
        <w:rPr>
          <w:rFonts w:hint="eastAsia" w:ascii="楷体_GB2312" w:eastAsia="楷体_GB2312"/>
          <w:b/>
          <w:bCs/>
        </w:rPr>
      </w:pPr>
      <w:r>
        <w:rPr>
          <w:rFonts w:hint="eastAsia" w:ascii="楷体_GB2312" w:eastAsia="楷体_GB2312"/>
          <w:b/>
          <w:bCs/>
        </w:rPr>
        <w:t>（二）国内外现行相关法律、法规和标准情况</w:t>
      </w:r>
    </w:p>
    <w:p>
      <w:pPr>
        <w:ind w:firstLine="640"/>
        <w:rPr>
          <w:rFonts w:hint="eastAsia" w:ascii="宋体" w:hAnsi="宋体"/>
        </w:rPr>
      </w:pPr>
      <w:r>
        <w:rPr>
          <w:rFonts w:hint="eastAsia"/>
        </w:rPr>
        <w:t>自</w:t>
      </w:r>
      <w:r>
        <w:t>《关于完整准确全面贯彻新发展理念做好碳达峰碳中和工作的意见》（中发〔2021〕36 号）、《2030年前碳达峰行动方案》（国发[2021]23号）、《碳达峰碳中和标准体系建设指南》（国标委联〔2023〕19号）等</w:t>
      </w:r>
      <w:r>
        <w:rPr>
          <w:rFonts w:hint="eastAsia"/>
        </w:rPr>
        <w:t>政策文件发布以来，</w:t>
      </w:r>
      <w:r>
        <w:rPr>
          <w:rFonts w:hint="eastAsia" w:ascii="宋体" w:hAnsi="宋体"/>
        </w:rPr>
        <w:t>国内以广东省、北京市为代表的部分省市及中国工业节能与清洁生产协会、中国节能协会等组织已率先发布碳排放管理体系建设及</w:t>
      </w:r>
      <w:r>
        <w:rPr>
          <w:rFonts w:hint="eastAsia"/>
        </w:rPr>
        <w:t>评价相关指南。已发布的标准包括中国工业节能与清洁生产协会《碳管理体系要求及使用指南》（</w:t>
      </w:r>
      <w:r>
        <w:t>T/CIECCPA</w:t>
      </w:r>
      <w:r>
        <w:rPr>
          <w:rFonts w:hint="eastAsia"/>
        </w:rPr>
        <w:t xml:space="preserve"> </w:t>
      </w:r>
      <w:r>
        <w:t>002-2021），北京市发展改革委《碳</w:t>
      </w:r>
      <w:r>
        <w:rPr>
          <w:rFonts w:hint="eastAsia"/>
        </w:rPr>
        <w:t>排放</w:t>
      </w:r>
      <w:r>
        <w:t>管理体系建设实施效果评价指南》（DB11/T</w:t>
      </w:r>
      <w:r>
        <w:rPr>
          <w:rFonts w:hint="eastAsia"/>
        </w:rPr>
        <w:t xml:space="preserve"> </w:t>
      </w:r>
      <w:r>
        <w:t>1558-2018）、北京市发展改革委《碳排</w:t>
      </w:r>
      <w:r>
        <w:rPr>
          <w:rFonts w:hint="eastAsia"/>
          <w:lang w:eastAsia="zh-CN"/>
        </w:rPr>
        <w:t>放</w:t>
      </w:r>
      <w:r>
        <w:t>管理体系实施指南》（DB11/T</w:t>
      </w:r>
      <w:r>
        <w:rPr>
          <w:rFonts w:hint="eastAsia"/>
        </w:rPr>
        <w:t xml:space="preserve"> </w:t>
      </w:r>
      <w:r>
        <w:t>1559-2018）和广东省发展改革委《碳排放管理体系要求及使用指南》（DB44/T1944-2016）</w:t>
      </w:r>
      <w:r>
        <w:rPr>
          <w:rFonts w:hint="eastAsia"/>
        </w:rPr>
        <w:t>等。</w:t>
      </w:r>
    </w:p>
    <w:p>
      <w:pPr>
        <w:ind w:firstLine="640"/>
        <w:rPr>
          <w:rFonts w:hint="eastAsia" w:ascii="黑体" w:hAnsi="黑体" w:eastAsia="黑体"/>
        </w:rPr>
      </w:pPr>
      <w:bookmarkStart w:id="3" w:name="_Toc149086870"/>
      <w:r>
        <w:rPr>
          <w:rFonts w:hint="eastAsia" w:ascii="黑体" w:hAnsi="黑体" w:eastAsia="黑体"/>
        </w:rPr>
        <w:t>二、工作简况</w:t>
      </w:r>
      <w:bookmarkEnd w:id="3"/>
    </w:p>
    <w:p>
      <w:pPr>
        <w:ind w:firstLine="640" w:firstLineChars="0"/>
        <w:rPr>
          <w:rFonts w:hint="eastAsia" w:ascii="楷体_GB2312" w:eastAsia="楷体_GB2312"/>
          <w:b/>
          <w:bCs/>
        </w:rPr>
      </w:pPr>
      <w:r>
        <w:rPr>
          <w:rFonts w:hint="eastAsia" w:ascii="楷体_GB2312" w:eastAsia="楷体_GB2312"/>
          <w:b/>
          <w:bCs/>
        </w:rPr>
        <w:t>（一）任务来源</w:t>
      </w:r>
    </w:p>
    <w:p>
      <w:pPr>
        <w:ind w:firstLine="640"/>
        <w:rPr>
          <w:rFonts w:hint="eastAsia"/>
        </w:rPr>
      </w:pPr>
      <w:r>
        <w:rPr>
          <w:rFonts w:hint="eastAsia"/>
        </w:rPr>
        <w:t>为规范组织碳排放管理体系建设与评价工作，进一步实现对组织碳排放的精准管理，建立全过程碳排放管理控制机制，2023年5月8日，深圳市市场监督管理局发布《关于下达2023年深圳市地方标准计划项目任务的通知》，批准制定《碳排放管理体系建设与评价指南》地方标准（以下简称“《碳管理指南》地标”）。本文件的牵头、提出和归口单位为深圳市发展和改革委员会，主要起草单位为深圳排放权交易所有限公司。</w:t>
      </w:r>
    </w:p>
    <w:p>
      <w:pPr>
        <w:ind w:firstLine="640" w:firstLineChars="0"/>
        <w:rPr>
          <w:rFonts w:hint="eastAsia" w:ascii="楷体_GB2312" w:eastAsia="楷体_GB2312"/>
          <w:b/>
          <w:bCs/>
        </w:rPr>
      </w:pPr>
      <w:r>
        <w:rPr>
          <w:rFonts w:hint="eastAsia" w:ascii="楷体_GB2312" w:eastAsia="楷体_GB2312"/>
          <w:b/>
          <w:bCs/>
        </w:rPr>
        <w:t>（二）主要起草过程</w:t>
      </w:r>
    </w:p>
    <w:p>
      <w:pPr>
        <w:ind w:firstLine="640"/>
        <w:rPr>
          <w:rFonts w:hint="eastAsia" w:cs="仿宋_GB2312"/>
          <w:szCs w:val="32"/>
        </w:rPr>
      </w:pPr>
      <w:bookmarkStart w:id="4" w:name="_Hlk145490725"/>
      <w:r>
        <w:rPr>
          <w:rFonts w:hint="eastAsia" w:cs="仿宋_GB2312"/>
          <w:szCs w:val="32"/>
        </w:rPr>
        <w:t>2023年5月，深圳市市场监督管理局下达《</w:t>
      </w:r>
      <w:r>
        <w:rPr>
          <w:rFonts w:hint="eastAsia"/>
        </w:rPr>
        <w:t>碳管理指南</w:t>
      </w:r>
      <w:r>
        <w:rPr>
          <w:rFonts w:hint="eastAsia" w:cs="仿宋_GB2312"/>
          <w:szCs w:val="32"/>
        </w:rPr>
        <w:t>》地标立项计划。</w:t>
      </w:r>
    </w:p>
    <w:p>
      <w:pPr>
        <w:ind w:firstLine="640"/>
        <w:rPr>
          <w:rFonts w:hint="eastAsia"/>
        </w:rPr>
      </w:pPr>
      <w:r>
        <w:t>2023年7月</w:t>
      </w:r>
      <w:r>
        <w:rPr>
          <w:rFonts w:hint="eastAsia"/>
        </w:rPr>
        <w:t>-8月</w:t>
      </w:r>
      <w:r>
        <w:t>，成立标准编制组，开展前期研究及</w:t>
      </w:r>
      <w:bookmarkEnd w:id="4"/>
      <w:r>
        <w:t>资料收集工作，梳理分析</w:t>
      </w:r>
      <w:r>
        <w:rPr>
          <w:rFonts w:hint="eastAsia"/>
        </w:rPr>
        <w:t>其它省份地区碳排放相关政策以及最新研究。通过系统梳理所搜集的资料，并结合实际情况，开展标准编制形成</w:t>
      </w:r>
      <w:r>
        <w:t>《</w:t>
      </w:r>
      <w:r>
        <w:rPr>
          <w:rFonts w:hint="eastAsia"/>
        </w:rPr>
        <w:t>碳管理指南（工作讨论稿）</w:t>
      </w:r>
      <w:r>
        <w:t>》</w:t>
      </w:r>
      <w:r>
        <w:rPr>
          <w:rFonts w:hint="eastAsia"/>
        </w:rPr>
        <w:t>。</w:t>
      </w:r>
    </w:p>
    <w:p>
      <w:pPr>
        <w:ind w:firstLine="640"/>
        <w:rPr>
          <w:rFonts w:hint="eastAsia" w:cs="仿宋_GB2312"/>
          <w:szCs w:val="32"/>
        </w:rPr>
      </w:pPr>
      <w:r>
        <w:rPr>
          <w:rFonts w:cs="仿宋_GB2312"/>
          <w:szCs w:val="32"/>
        </w:rPr>
        <w:t>2023年</w:t>
      </w:r>
      <w:r>
        <w:rPr>
          <w:rFonts w:hint="eastAsia" w:cs="仿宋_GB2312"/>
          <w:szCs w:val="32"/>
        </w:rPr>
        <w:t>9月</w:t>
      </w:r>
      <w:r>
        <w:rPr>
          <w:rFonts w:cs="仿宋_GB2312"/>
          <w:szCs w:val="32"/>
        </w:rPr>
        <w:t>，编制组</w:t>
      </w:r>
      <w:r>
        <w:rPr>
          <w:rFonts w:hint="eastAsia" w:cs="仿宋_GB2312"/>
          <w:szCs w:val="32"/>
        </w:rPr>
        <w:t>构建</w:t>
      </w:r>
      <w:r>
        <w:rPr>
          <w:rFonts w:cs="仿宋_GB2312"/>
          <w:szCs w:val="32"/>
        </w:rPr>
        <w:t>《</w:t>
      </w:r>
      <w:r>
        <w:rPr>
          <w:rFonts w:hint="eastAsia"/>
        </w:rPr>
        <w:t>碳管理指南</w:t>
      </w:r>
      <w:r>
        <w:rPr>
          <w:rFonts w:cs="仿宋_GB2312"/>
          <w:szCs w:val="32"/>
        </w:rPr>
        <w:t>》基本框架，</w:t>
      </w:r>
      <w:r>
        <w:rPr>
          <w:rFonts w:hint="eastAsia" w:cs="仿宋_GB2312"/>
          <w:szCs w:val="32"/>
        </w:rPr>
        <w:t>并</w:t>
      </w:r>
      <w:r>
        <w:rPr>
          <w:rFonts w:cs="仿宋_GB2312"/>
          <w:szCs w:val="32"/>
        </w:rPr>
        <w:t>召开</w:t>
      </w:r>
      <w:r>
        <w:rPr>
          <w:rFonts w:hint="eastAsia" w:cs="仿宋_GB2312"/>
          <w:szCs w:val="32"/>
        </w:rPr>
        <w:t>标准编制启动会</w:t>
      </w:r>
      <w:r>
        <w:rPr>
          <w:rFonts w:cs="仿宋_GB2312"/>
          <w:szCs w:val="32"/>
        </w:rPr>
        <w:t>。</w:t>
      </w:r>
    </w:p>
    <w:p>
      <w:pPr>
        <w:ind w:firstLine="640"/>
        <w:rPr>
          <w:rFonts w:hint="eastAsia" w:cs="仿宋_GB2312"/>
          <w:color w:val="FF0000"/>
          <w:szCs w:val="32"/>
        </w:rPr>
      </w:pPr>
      <w:r>
        <w:rPr>
          <w:rFonts w:cs="仿宋_GB2312"/>
          <w:szCs w:val="32"/>
        </w:rPr>
        <w:t>2023年1</w:t>
      </w:r>
      <w:r>
        <w:rPr>
          <w:rFonts w:hint="eastAsia" w:cs="仿宋_GB2312"/>
          <w:szCs w:val="32"/>
        </w:rPr>
        <w:t>0月</w:t>
      </w:r>
      <w:r>
        <w:rPr>
          <w:rFonts w:cs="仿宋_GB2312"/>
          <w:szCs w:val="32"/>
        </w:rPr>
        <w:t>-</w:t>
      </w:r>
      <w:r>
        <w:rPr>
          <w:rFonts w:hint="eastAsia" w:cs="仿宋_GB2312"/>
          <w:szCs w:val="32"/>
        </w:rPr>
        <w:t>2024年1</w:t>
      </w:r>
      <w:r>
        <w:rPr>
          <w:rFonts w:cs="仿宋_GB2312"/>
          <w:szCs w:val="32"/>
        </w:rPr>
        <w:t>月，编制组</w:t>
      </w:r>
      <w:r>
        <w:rPr>
          <w:rFonts w:hint="eastAsia" w:cs="仿宋_GB2312"/>
          <w:szCs w:val="32"/>
        </w:rPr>
        <w:t>汇总整理启动会成果，研究国际范围内科学碳目标设定、</w:t>
      </w:r>
      <w:r>
        <w:rPr>
          <w:rFonts w:hint="eastAsia" w:cs="仿宋_GB2312"/>
          <w:szCs w:val="32"/>
          <w:lang w:eastAsia="zh-CN"/>
        </w:rPr>
        <w:t>气候变化披露</w:t>
      </w:r>
      <w:r>
        <w:rPr>
          <w:rFonts w:hint="eastAsia" w:cs="仿宋_GB2312"/>
          <w:szCs w:val="32"/>
          <w:lang w:val="en-US" w:eastAsia="zh-CN"/>
        </w:rPr>
        <w:t>(</w:t>
      </w:r>
      <w:r>
        <w:rPr>
          <w:rFonts w:hint="eastAsia" w:cs="仿宋_GB2312"/>
          <w:szCs w:val="32"/>
        </w:rPr>
        <w:t>CDP</w:t>
      </w:r>
      <w:r>
        <w:rPr>
          <w:rFonts w:hint="eastAsia" w:cs="仿宋_GB2312"/>
          <w:szCs w:val="32"/>
          <w:lang w:val="en-US" w:eastAsia="zh-CN"/>
        </w:rPr>
        <w:t>)</w:t>
      </w:r>
      <w:r>
        <w:rPr>
          <w:rFonts w:hint="eastAsia" w:cs="仿宋_GB2312"/>
          <w:szCs w:val="32"/>
        </w:rPr>
        <w:t>评价等对碳管理体系的相关要求，向第三方咨询单位征集并汇总吸纳标准条文编制建议。</w:t>
      </w:r>
    </w:p>
    <w:p>
      <w:pPr>
        <w:ind w:firstLine="640"/>
        <w:rPr>
          <w:rFonts w:hint="eastAsia" w:cs="仿宋_GB2312"/>
          <w:szCs w:val="32"/>
        </w:rPr>
      </w:pPr>
      <w:r>
        <w:rPr>
          <w:rFonts w:hint="eastAsia" w:cs="仿宋_GB2312"/>
          <w:szCs w:val="32"/>
        </w:rPr>
        <w:t>2024年2月-3月，编制组以实地调研、邮件反馈及召开会议等形式，与行业内各企事业单位进行沟通和交流座谈。</w:t>
      </w:r>
    </w:p>
    <w:p>
      <w:pPr>
        <w:ind w:firstLine="640"/>
        <w:rPr>
          <w:rFonts w:hint="eastAsia" w:cs="仿宋_GB2312"/>
          <w:szCs w:val="32"/>
        </w:rPr>
      </w:pPr>
      <w:r>
        <w:rPr>
          <w:rFonts w:hint="eastAsia" w:cs="仿宋_GB2312"/>
          <w:szCs w:val="32"/>
        </w:rPr>
        <w:t>2024年4月-5月，编制组汇总并起草《</w:t>
      </w:r>
      <w:r>
        <w:rPr>
          <w:rFonts w:hint="eastAsia"/>
        </w:rPr>
        <w:t>碳管理指南</w:t>
      </w:r>
      <w:r>
        <w:rPr>
          <w:rFonts w:hint="eastAsia" w:cs="仿宋_GB2312"/>
          <w:szCs w:val="32"/>
        </w:rPr>
        <w:t>（初稿）》、标准编制说明。</w:t>
      </w:r>
    </w:p>
    <w:p>
      <w:pPr>
        <w:ind w:firstLine="640"/>
        <w:rPr>
          <w:rFonts w:hint="eastAsia"/>
        </w:rPr>
      </w:pPr>
      <w:r>
        <w:rPr>
          <w:rFonts w:hint="eastAsia"/>
        </w:rPr>
        <w:t>2024年6月3日，标准召开编制单位研讨会，研讨并完善标准编制成果。</w:t>
      </w:r>
    </w:p>
    <w:p>
      <w:pPr>
        <w:ind w:firstLine="640"/>
        <w:rPr>
          <w:rFonts w:hint="eastAsia" w:cs="仿宋_GB2312"/>
          <w:szCs w:val="32"/>
        </w:rPr>
      </w:pPr>
      <w:r>
        <w:rPr>
          <w:rFonts w:hint="eastAsia" w:cs="仿宋_GB2312"/>
          <w:szCs w:val="32"/>
        </w:rPr>
        <w:t>2024年6月-7月，编制组召开编制单位研讨会、讨论和完善标准文本；根据会议意见，进一步完善《</w:t>
      </w:r>
      <w:r>
        <w:rPr>
          <w:rFonts w:hint="eastAsia"/>
        </w:rPr>
        <w:t>碳管理指南</w:t>
      </w:r>
      <w:r>
        <w:rPr>
          <w:rFonts w:hint="eastAsia" w:cs="仿宋_GB2312"/>
          <w:szCs w:val="32"/>
        </w:rPr>
        <w:t>（初稿）》、编制说明等。</w:t>
      </w:r>
    </w:p>
    <w:p>
      <w:pPr>
        <w:ind w:firstLine="640"/>
        <w:rPr>
          <w:rFonts w:hint="eastAsia" w:cs="仿宋_GB2312"/>
          <w:szCs w:val="32"/>
        </w:rPr>
      </w:pPr>
      <w:r>
        <w:rPr>
          <w:rFonts w:hint="eastAsia" w:cs="仿宋_GB2312"/>
          <w:szCs w:val="32"/>
        </w:rPr>
        <w:t>2024年8月-9月，编制组走访欣旺达、TCL华星等深圳市内头部生产型高新技术企业，调研企业已有碳管理体系建设情况、所面临海外及上下游最新政策法规要求、标准指标体系及评价体系适用情况，进一步丰富标准内涵。</w:t>
      </w:r>
    </w:p>
    <w:p>
      <w:pPr>
        <w:ind w:firstLine="640"/>
        <w:rPr>
          <w:rFonts w:hint="eastAsia" w:cs="仿宋_GB2312"/>
          <w:szCs w:val="32"/>
        </w:rPr>
      </w:pPr>
      <w:r>
        <w:rPr>
          <w:rFonts w:hint="eastAsia" w:cs="仿宋_GB2312"/>
          <w:szCs w:val="32"/>
        </w:rPr>
        <w:t>2024年9月19日，编制组召开标准专家评审会，系统性审查标准全文并给出修改意见。</w:t>
      </w:r>
    </w:p>
    <w:p>
      <w:pPr>
        <w:ind w:firstLine="640"/>
        <w:rPr>
          <w:rFonts w:hint="eastAsia" w:cs="仿宋_GB2312"/>
          <w:szCs w:val="32"/>
        </w:rPr>
      </w:pPr>
      <w:r>
        <w:rPr>
          <w:rFonts w:hint="eastAsia" w:cs="仿宋_GB2312"/>
          <w:szCs w:val="32"/>
        </w:rPr>
        <w:t>2024年9月-11月，编制组根据专家评审会成果，结合当前国际绿色贸易政策及头部企业面临范围三供应链碳排放要求修改并完善标准，形成《</w:t>
      </w:r>
      <w:r>
        <w:rPr>
          <w:rFonts w:hint="eastAsia"/>
        </w:rPr>
        <w:t>碳管理指南</w:t>
      </w:r>
      <w:r>
        <w:rPr>
          <w:rFonts w:hint="eastAsia" w:cs="仿宋_GB2312"/>
          <w:szCs w:val="32"/>
        </w:rPr>
        <w:t>（征求意见稿）》、编制说明等。</w:t>
      </w:r>
    </w:p>
    <w:p>
      <w:pPr>
        <w:ind w:firstLine="640"/>
        <w:rPr>
          <w:rFonts w:hint="eastAsia" w:ascii="黑体" w:hAnsi="黑体" w:eastAsia="黑体"/>
        </w:rPr>
      </w:pPr>
      <w:bookmarkStart w:id="5" w:name="_Toc149086871"/>
      <w:r>
        <w:rPr>
          <w:rFonts w:hint="eastAsia" w:ascii="黑体" w:hAnsi="黑体" w:eastAsia="黑体"/>
        </w:rPr>
        <w:t>三、主要内容说明</w:t>
      </w:r>
      <w:bookmarkEnd w:id="5"/>
      <w:r>
        <w:rPr>
          <w:rFonts w:hint="eastAsia" w:ascii="黑体" w:hAnsi="黑体" w:eastAsia="黑体"/>
        </w:rPr>
        <w:t>（主要内容的依据以及与国内领先、国际先进标准的对标情况）</w:t>
      </w:r>
    </w:p>
    <w:p>
      <w:pPr>
        <w:ind w:firstLine="643"/>
        <w:rPr>
          <w:rFonts w:hint="eastAsia"/>
          <w:b/>
          <w:bCs/>
        </w:rPr>
      </w:pPr>
      <w:r>
        <w:rPr>
          <w:rFonts w:hint="eastAsia"/>
          <w:b/>
          <w:bCs/>
        </w:rPr>
        <w:t>（一）主要内容的依据</w:t>
      </w:r>
    </w:p>
    <w:p>
      <w:pPr>
        <w:ind w:firstLine="640"/>
        <w:rPr>
          <w:rFonts w:hint="eastAsia"/>
        </w:rPr>
      </w:pPr>
      <w:r>
        <w:rPr>
          <w:rFonts w:hint="eastAsia"/>
        </w:rPr>
        <w:t>本文件按照</w:t>
      </w:r>
      <w:r>
        <w:t>GB/T 1.1—2020《标准化工作导则  第1部分：标准化文件的结构和起草规则》的规定起草。</w:t>
      </w:r>
    </w:p>
    <w:p>
      <w:pPr>
        <w:ind w:firstLine="640"/>
        <w:rPr>
          <w:rFonts w:hint="eastAsia"/>
        </w:rPr>
      </w:pPr>
      <w:r>
        <w:rPr>
          <w:rFonts w:hint="eastAsia"/>
        </w:rPr>
        <w:t>本文件规范性引用文件包括：</w:t>
      </w:r>
      <w:r>
        <w:t>GB/T 19273-2003《企业标准体系 评价与改进</w:t>
      </w:r>
      <w:r>
        <w:rPr>
          <w:rFonts w:hint="eastAsia"/>
        </w:rPr>
        <w:t>》、</w:t>
      </w:r>
      <w:r>
        <w:t>GB/T 23331-2020《能源管理体系 要求及使用指南</w:t>
      </w:r>
      <w:r>
        <w:rPr>
          <w:rFonts w:hint="eastAsia"/>
        </w:rPr>
        <w:t>》、</w:t>
      </w:r>
      <w:r>
        <w:t>GB/T 24001-2016《环境管理体系 要求及使用指南</w:t>
      </w:r>
      <w:r>
        <w:rPr>
          <w:rFonts w:hint="eastAsia"/>
        </w:rPr>
        <w:t>》、</w:t>
      </w:r>
      <w:r>
        <w:t>GB/T 32150-2015《工业企业温室气体排放核算和报告通则</w:t>
      </w:r>
      <w:r>
        <w:rPr>
          <w:rFonts w:hint="eastAsia"/>
        </w:rPr>
        <w:t>》、</w:t>
      </w:r>
      <w:r>
        <w:t>JR/T 0244—2022《碳金融产品</w:t>
      </w:r>
      <w:r>
        <w:rPr>
          <w:rFonts w:hint="eastAsia"/>
        </w:rPr>
        <w:t>》</w:t>
      </w:r>
      <w:r>
        <w:t>。</w:t>
      </w:r>
    </w:p>
    <w:p>
      <w:pPr>
        <w:ind w:firstLine="640"/>
        <w:rPr>
          <w:rFonts w:hint="eastAsia"/>
        </w:rPr>
      </w:pPr>
      <w:r>
        <w:rPr>
          <w:rFonts w:hint="eastAsia"/>
        </w:rPr>
        <w:t>参考文献包括：</w:t>
      </w:r>
      <w:r>
        <w:t>DB11/T 1558-2018</w:t>
      </w:r>
      <w:r>
        <w:rPr>
          <w:rFonts w:hint="eastAsia"/>
        </w:rPr>
        <w:t>《</w:t>
      </w:r>
      <w:r>
        <w:t>碳排放管理体系建设实施效果评价指南</w:t>
      </w:r>
      <w:r>
        <w:rPr>
          <w:rFonts w:hint="eastAsia"/>
        </w:rPr>
        <w:t>》、</w:t>
      </w:r>
      <w:r>
        <w:t>DB11/T 1559-2018</w:t>
      </w:r>
      <w:r>
        <w:rPr>
          <w:rFonts w:hint="eastAsia"/>
        </w:rPr>
        <w:t>《</w:t>
      </w:r>
      <w:r>
        <w:t>碳排放管理体系建设实施指南</w:t>
      </w:r>
      <w:r>
        <w:rPr>
          <w:rFonts w:hint="eastAsia"/>
        </w:rPr>
        <w:t>》、</w:t>
      </w:r>
      <w:r>
        <w:t>DB44/T 1944-2016</w:t>
      </w:r>
      <w:r>
        <w:rPr>
          <w:rFonts w:hint="eastAsia"/>
        </w:rPr>
        <w:t>《</w:t>
      </w:r>
      <w:r>
        <w:t>碳排放管理体系要求及使用指南</w:t>
      </w:r>
      <w:r>
        <w:rPr>
          <w:rFonts w:hint="eastAsia"/>
        </w:rPr>
        <w:t>》、</w:t>
      </w:r>
      <w:r>
        <w:t>SZDB/Z70-2018</w:t>
      </w:r>
      <w:r>
        <w:rPr>
          <w:rFonts w:hint="eastAsia"/>
        </w:rPr>
        <w:t>《</w:t>
      </w:r>
      <w:r>
        <w:t>组织的碳排放核查指南</w:t>
      </w:r>
      <w:r>
        <w:rPr>
          <w:rFonts w:hint="eastAsia"/>
        </w:rPr>
        <w:t>》、《组织温室气体排放量化和报告指南》、</w:t>
      </w:r>
      <w:r>
        <w:t>T/CIECCPA 002-2021</w:t>
      </w:r>
      <w:r>
        <w:rPr>
          <w:rFonts w:hint="eastAsia"/>
        </w:rPr>
        <w:t>《</w:t>
      </w:r>
      <w:r>
        <w:t>碳排放管理体系要求及使用指南</w:t>
      </w:r>
      <w:r>
        <w:rPr>
          <w:rFonts w:hint="eastAsia"/>
        </w:rPr>
        <w:t>》、I</w:t>
      </w:r>
      <w:r>
        <w:t>SO 14064-1</w:t>
      </w:r>
      <w:r>
        <w:rPr>
          <w:rFonts w:hint="eastAsia"/>
        </w:rPr>
        <w:t>《</w:t>
      </w:r>
      <w:r>
        <w:t>组织层次上对温室气体排放和清除的量化和报告的规范及指南</w:t>
      </w:r>
      <w:r>
        <w:rPr>
          <w:rFonts w:hint="eastAsia"/>
        </w:rPr>
        <w:t>》、GHG Protocol、GB/T 24067-2024《温室气体-产品碳足迹 量化要求和指南》。</w:t>
      </w:r>
    </w:p>
    <w:p>
      <w:pPr>
        <w:ind w:firstLine="643"/>
        <w:rPr>
          <w:rFonts w:hint="eastAsia"/>
          <w:b/>
          <w:bCs/>
        </w:rPr>
      </w:pPr>
      <w:r>
        <w:rPr>
          <w:rFonts w:hint="eastAsia"/>
          <w:b/>
          <w:bCs/>
        </w:rPr>
        <w:t>（二）与国内领先、国际先进标准的对标情况</w:t>
      </w:r>
    </w:p>
    <w:p>
      <w:pPr>
        <w:ind w:firstLine="640"/>
        <w:rPr>
          <w:rFonts w:hint="eastAsia"/>
        </w:rPr>
      </w:pPr>
      <w:r>
        <w:rPr>
          <w:rFonts w:hint="eastAsia"/>
        </w:rPr>
        <w:t>在标准编制过程中，编制组收集分析了国内外相关标准情况。国外出台了</w:t>
      </w:r>
      <w:r>
        <w:t>ISO 14064-1《组织层次上对温室气体排放和清除的量化和报告的规范及指南》，从组织层面给予了碳排放的量化与报告的相关要求。2016年12月，广东省发展和改革委员会印发DB44/T 1944-2016《碳排放管理体系要求及使用指南》；2018年9月，北京市发展和改革委员会印发DB11/T 1559-2018《碳排放管理体系建设实施指南》和DB11/T 1558-2018《碳排放管理体系建设实施效果评价指南》；2021年11月，中国工业节能与</w:t>
      </w:r>
      <w:r>
        <w:rPr>
          <w:rFonts w:hint="eastAsia"/>
        </w:rPr>
        <w:t>清洁生产协会印发</w:t>
      </w:r>
      <w:r>
        <w:t>T/CIECCPA 002-2021《碳排放管理体系要求及使用指南》。国内已有的地方及行业标准基于策划、实施、检查与改进（PDCA）的概念，提供碳排放管理体系建设思路与框架。随着国家双碳战略目标的提出，以及国际碳边境调节机制（CBAM）、《欧盟电池和废电池法规》</w:t>
      </w:r>
      <w:r>
        <w:rPr>
          <w:rFonts w:hint="eastAsia"/>
        </w:rPr>
        <w:t>《</w:t>
      </w:r>
      <w:r>
        <w:rPr>
          <w:rFonts w:hint="eastAsia" w:cs="仿宋_GB2312"/>
          <w:szCs w:val="32"/>
        </w:rPr>
        <w:t>欧盟新电池法案》</w:t>
      </w:r>
      <w:r>
        <w:t>等绿色贸易新政的出台，已有标准已不能满足深圳企业发展的需求，需要根据最新发布的法律法规与标准，细化、优化碳排放管理要求与评价指南。为促进企业绿色低碳可持续发展，指导企业建立碳排放管理体系并持续实施改进碳排放绩效，本标准融合科学碳目标（SBTi）相关内容，已设立科学碳目标的组织，可将其目标、运行、绩效等融入的碳排放管理体系的建立与运行；细化绩效评价实施步骤，针对监视、测量、分析和评价，内部审核，管理评审等方面细化实施步骤；建立碳排放管理成熟度评价模型，提出碳排放管理评价的3个星级，对定性评价和定量评价综合得分进行成熟度评价。</w:t>
      </w:r>
    </w:p>
    <w:p>
      <w:pPr>
        <w:ind w:firstLine="640"/>
        <w:rPr>
          <w:rFonts w:hint="eastAsia" w:ascii="黑体" w:hAnsi="黑体" w:eastAsia="黑体"/>
        </w:rPr>
      </w:pPr>
      <w:r>
        <w:rPr>
          <w:rFonts w:hint="eastAsia" w:ascii="黑体" w:hAnsi="黑体" w:eastAsia="黑体"/>
        </w:rPr>
        <w:t>四、主要条款说明，主要技术指标、参数、试验验证的论述</w:t>
      </w:r>
      <w:bookmarkStart w:id="6" w:name="_Hlk145490002"/>
    </w:p>
    <w:p>
      <w:pPr>
        <w:ind w:firstLine="643"/>
        <w:rPr>
          <w:rFonts w:hint="eastAsia"/>
          <w:b/>
          <w:bCs/>
        </w:rPr>
      </w:pPr>
      <w:r>
        <w:rPr>
          <w:rFonts w:hint="eastAsia"/>
          <w:b/>
          <w:bCs/>
        </w:rPr>
        <w:t>（一）主要条款说明</w:t>
      </w:r>
    </w:p>
    <w:p>
      <w:pPr>
        <w:ind w:firstLine="640"/>
        <w:rPr>
          <w:rFonts w:hint="eastAsia"/>
        </w:rPr>
      </w:pPr>
      <w:r>
        <w:rPr>
          <w:rFonts w:hint="eastAsia"/>
        </w:rPr>
        <w:t>《碳管理指南》地标共1</w:t>
      </w:r>
      <w:r>
        <w:t>2</w:t>
      </w:r>
      <w:r>
        <w:rPr>
          <w:rFonts w:hint="eastAsia"/>
        </w:rPr>
        <w:t>个章节</w:t>
      </w:r>
      <w:bookmarkEnd w:id="6"/>
      <w:r>
        <w:rPr>
          <w:rFonts w:hint="eastAsia"/>
        </w:rPr>
        <w:t>，提供评分附录表A以及评价报告编写大纲附录B。</w:t>
      </w:r>
    </w:p>
    <w:p>
      <w:pPr>
        <w:ind w:firstLine="643"/>
        <w:rPr>
          <w:rFonts w:hint="eastAsia"/>
        </w:rPr>
      </w:pPr>
      <w:r>
        <w:rPr>
          <w:rFonts w:hint="eastAsia"/>
          <w:b/>
          <w:bCs/>
        </w:rPr>
        <w:t>第一章为范围</w:t>
      </w:r>
      <w:r>
        <w:rPr>
          <w:rFonts w:hint="eastAsia"/>
        </w:rPr>
        <w:t>，明确了本标准规定了组织碳排放管理体系建设与评价指南的术语定义、组织所处的环境、基本要求、领导作用、策划、支持、运行、绩效评价、改进、评价指标、体系等，适用于组织碳排放管理体系建设与评价。</w:t>
      </w:r>
    </w:p>
    <w:p>
      <w:pPr>
        <w:ind w:firstLine="643"/>
        <w:rPr>
          <w:rFonts w:hint="eastAsia"/>
        </w:rPr>
      </w:pPr>
      <w:r>
        <w:rPr>
          <w:rFonts w:hint="eastAsia"/>
          <w:b/>
          <w:bCs/>
        </w:rPr>
        <w:t>第二章为规范性引用文件</w:t>
      </w:r>
      <w:r>
        <w:rPr>
          <w:rFonts w:hint="eastAsia"/>
        </w:rPr>
        <w:t>，对《碳管理指南》地标中引用的文件进行列举。</w:t>
      </w:r>
    </w:p>
    <w:p>
      <w:pPr>
        <w:ind w:firstLine="643"/>
        <w:rPr>
          <w:rFonts w:hint="eastAsia"/>
        </w:rPr>
      </w:pPr>
      <w:r>
        <w:rPr>
          <w:rFonts w:hint="eastAsia"/>
          <w:b/>
          <w:bCs/>
        </w:rPr>
        <w:t>第三章为术语及定义</w:t>
      </w:r>
      <w:r>
        <w:rPr>
          <w:rFonts w:hint="eastAsia"/>
        </w:rPr>
        <w:t>，解释明确了与体系建设和管理有关的7个重要术语概念，与绩效有关的5个重要术语概念，与碳排放有关的10个重要术语概念。</w:t>
      </w:r>
    </w:p>
    <w:p>
      <w:pPr>
        <w:ind w:firstLine="643"/>
        <w:rPr>
          <w:rFonts w:hint="eastAsia"/>
        </w:rPr>
      </w:pPr>
      <w:r>
        <w:rPr>
          <w:rFonts w:hint="eastAsia"/>
          <w:b/>
          <w:bCs/>
        </w:rPr>
        <w:t>第四章为组织所处的环境</w:t>
      </w:r>
      <w:r>
        <w:rPr>
          <w:rFonts w:hint="eastAsia"/>
        </w:rPr>
        <w:t>，主要内容为</w:t>
      </w:r>
      <w:r>
        <w:t>理解组织及其所处的环境</w:t>
      </w:r>
      <w:r>
        <w:rPr>
          <w:rFonts w:hint="eastAsia"/>
        </w:rPr>
        <w:t>、</w:t>
      </w:r>
      <w:r>
        <w:t>理解相关方的需求和期望</w:t>
      </w:r>
      <w:r>
        <w:rPr>
          <w:rFonts w:hint="eastAsia"/>
        </w:rPr>
        <w:t>、确定碳排放管理体系的范围及碳排放管理体系建设。</w:t>
      </w:r>
    </w:p>
    <w:p>
      <w:pPr>
        <w:ind w:firstLine="643"/>
        <w:rPr>
          <w:rFonts w:hint="eastAsia"/>
        </w:rPr>
      </w:pPr>
      <w:r>
        <w:rPr>
          <w:rFonts w:hint="eastAsia"/>
          <w:b/>
          <w:bCs/>
        </w:rPr>
        <w:t>第五章为基本要求</w:t>
      </w:r>
      <w:r>
        <w:rPr>
          <w:rFonts w:hint="eastAsia"/>
        </w:rPr>
        <w:t>，明确碳排放管理体系建设与评价指南的核心是持续改进碳排放绩效提供评价指标标准参考，组织遵循“策划</w:t>
      </w:r>
      <w:r>
        <w:t>-实施运行-检查-改进”程序</w:t>
      </w:r>
      <w:r>
        <w:rPr>
          <w:rFonts w:hint="eastAsia"/>
        </w:rPr>
        <w:t>开展</w:t>
      </w:r>
      <w:r>
        <w:t>碳排放管理活动</w:t>
      </w:r>
      <w:r>
        <w:rPr>
          <w:rFonts w:hint="eastAsia"/>
        </w:rPr>
        <w:t>，</w:t>
      </w:r>
      <w:r>
        <w:t>进行有效策划并提供资源，通过实施控制及监测，发现问题及时改进，并将碳排放管理融入到组织的日常活动中。</w:t>
      </w:r>
    </w:p>
    <w:p>
      <w:pPr>
        <w:ind w:firstLine="643"/>
        <w:rPr>
          <w:rFonts w:hint="eastAsia"/>
        </w:rPr>
      </w:pPr>
      <w:r>
        <w:rPr>
          <w:rFonts w:hint="eastAsia"/>
          <w:b/>
          <w:bCs/>
        </w:rPr>
        <w:t>第六章为领导作用</w:t>
      </w:r>
      <w:r>
        <w:rPr>
          <w:rFonts w:hint="eastAsia"/>
        </w:rPr>
        <w:t>，主要内容为领导作用和承诺,碳排放管理方针，以及</w:t>
      </w:r>
      <w:r>
        <w:t>组织的角色、职责和权限</w:t>
      </w:r>
      <w:r>
        <w:rPr>
          <w:rFonts w:hint="eastAsia"/>
        </w:rPr>
        <w:t>。</w:t>
      </w:r>
    </w:p>
    <w:p>
      <w:pPr>
        <w:ind w:firstLine="643"/>
        <w:rPr>
          <w:rFonts w:hint="eastAsia"/>
        </w:rPr>
      </w:pPr>
      <w:r>
        <w:rPr>
          <w:rFonts w:hint="eastAsia"/>
          <w:b/>
          <w:bCs/>
        </w:rPr>
        <w:t>第七章为</w:t>
      </w:r>
      <w:r>
        <w:rPr>
          <w:b/>
          <w:bCs/>
        </w:rPr>
        <w:t>策划</w:t>
      </w:r>
      <w:r>
        <w:rPr>
          <w:rFonts w:hint="eastAsia"/>
        </w:rPr>
        <w:t>，从以下九个方面对组织的碳排放管理进行了要求，</w:t>
      </w:r>
      <w:r>
        <w:t>应对风险和机遇的措施</w:t>
      </w:r>
      <w:r>
        <w:rPr>
          <w:rFonts w:hint="eastAsia"/>
        </w:rPr>
        <w:t>、</w:t>
      </w:r>
      <w:r>
        <w:t>碳排放管理目标及实现的策划</w:t>
      </w:r>
      <w:r>
        <w:rPr>
          <w:rFonts w:hint="eastAsia"/>
        </w:rPr>
        <w:t>、碳排放评估、</w:t>
      </w:r>
      <w:r>
        <w:t>碳排放源</w:t>
      </w:r>
      <w:r>
        <w:rPr>
          <w:rFonts w:hint="eastAsia"/>
        </w:rPr>
        <w:t>、</w:t>
      </w:r>
      <w:r>
        <w:t>碳排放绩效参数</w:t>
      </w:r>
      <w:r>
        <w:rPr>
          <w:rFonts w:hint="eastAsia"/>
        </w:rPr>
        <w:t>、</w:t>
      </w:r>
      <w:r>
        <w:t>基准年</w:t>
      </w:r>
      <w:r>
        <w:rPr>
          <w:rFonts w:hint="eastAsia"/>
        </w:rPr>
        <w:t>、</w:t>
      </w:r>
      <w:r>
        <w:t>碳排放管理相关数据收集的策划</w:t>
      </w:r>
      <w:r>
        <w:rPr>
          <w:rFonts w:hint="eastAsia"/>
        </w:rPr>
        <w:t>、合规义务、变更的策划。</w:t>
      </w:r>
    </w:p>
    <w:p>
      <w:pPr>
        <w:ind w:firstLine="643"/>
        <w:rPr>
          <w:rFonts w:hint="eastAsia"/>
        </w:rPr>
      </w:pPr>
      <w:r>
        <w:rPr>
          <w:rFonts w:hint="eastAsia"/>
          <w:b/>
          <w:bCs/>
        </w:rPr>
        <w:t>第八章为支持</w:t>
      </w:r>
      <w:r>
        <w:rPr>
          <w:rFonts w:hint="eastAsia"/>
        </w:rPr>
        <w:t>，明确了组织应通过建立系统的文件体系和管理制度、增强人员能力与意识、配备相应资源等，为碳排放管理体系的建立、实施、保持和持续改进提供支撑。从以下四个方面进行具体要求，文件和记录、能力和意识、资源配置和碳排放信息交流。</w:t>
      </w:r>
    </w:p>
    <w:p>
      <w:pPr>
        <w:ind w:firstLine="643"/>
        <w:rPr>
          <w:rFonts w:hint="eastAsia"/>
        </w:rPr>
      </w:pPr>
      <w:r>
        <w:rPr>
          <w:rFonts w:hint="eastAsia"/>
          <w:b/>
          <w:bCs/>
        </w:rPr>
        <w:t>第九章为运行</w:t>
      </w:r>
      <w:r>
        <w:rPr>
          <w:rFonts w:hint="eastAsia"/>
        </w:rPr>
        <w:t>，明确了组织在已建立的碳排放管理体系基础之上，为实现碳排放管理目标而开展相应的活动。从以下五个方面进行要求，设计、采购控制、运行控制、碳排放核算与报告、和碳资产管理。</w:t>
      </w:r>
    </w:p>
    <w:p>
      <w:pPr>
        <w:ind w:firstLine="643"/>
        <w:rPr>
          <w:rFonts w:hint="eastAsia"/>
        </w:rPr>
      </w:pPr>
      <w:r>
        <w:rPr>
          <w:rFonts w:hint="eastAsia"/>
          <w:b/>
          <w:bCs/>
        </w:rPr>
        <w:t>第十章为绩效评价</w:t>
      </w:r>
      <w:r>
        <w:rPr>
          <w:rFonts w:hint="eastAsia"/>
        </w:rPr>
        <w:t>，规范了组织应对碳排放管理体系和碳排放绩效及有效性开展评价的具体步骤及工作。先是</w:t>
      </w:r>
      <w:r>
        <w:t>监视、测量、分析和评价</w:t>
      </w:r>
      <w:r>
        <w:rPr>
          <w:rFonts w:hint="eastAsia"/>
        </w:rPr>
        <w:t>，再是内部审核，最后是管理评审。</w:t>
      </w:r>
    </w:p>
    <w:p>
      <w:pPr>
        <w:ind w:firstLine="643"/>
        <w:rPr>
          <w:rFonts w:hint="eastAsia"/>
        </w:rPr>
      </w:pPr>
      <w:r>
        <w:rPr>
          <w:rFonts w:hint="eastAsia"/>
          <w:b/>
          <w:bCs/>
        </w:rPr>
        <w:t>第十一章为改进</w:t>
      </w:r>
      <w:r>
        <w:rPr>
          <w:rFonts w:hint="eastAsia"/>
        </w:rPr>
        <w:t>，明确了组织应根据碳排放绩效评价结果对不符合部分及时进行纠正及改进的具体要求。从</w:t>
      </w:r>
      <w:r>
        <w:t>不符合及纠正措施</w:t>
      </w:r>
      <w:r>
        <w:rPr>
          <w:rFonts w:hint="eastAsia"/>
        </w:rPr>
        <w:t>、持续改进两方面进行要求。</w:t>
      </w:r>
    </w:p>
    <w:p>
      <w:pPr>
        <w:ind w:firstLine="643"/>
        <w:rPr>
          <w:rFonts w:hint="eastAsia"/>
        </w:rPr>
      </w:pPr>
      <w:r>
        <w:rPr>
          <w:rFonts w:hint="eastAsia"/>
          <w:b/>
          <w:bCs/>
        </w:rPr>
        <w:t>第十二章为</w:t>
      </w:r>
      <w:r>
        <w:rPr>
          <w:b/>
          <w:bCs/>
        </w:rPr>
        <w:t>评价指标体系</w:t>
      </w:r>
      <w:r>
        <w:rPr>
          <w:rFonts w:hint="eastAsia"/>
        </w:rPr>
        <w:t>，解释了碳排放管理体系建设与评价指南指标体系的构成及打分方法。根据由定性评价和定量评价两部分累计相加的综合得分结果进行成熟度评价。其中定性评价指标体系由总体目标、一级指标（</w:t>
      </w:r>
      <w:r>
        <w:t>7个）、二级指标（30个）二个层次构成</w:t>
      </w:r>
      <w:r>
        <w:rPr>
          <w:rFonts w:hint="eastAsia"/>
        </w:rPr>
        <w:t>。定量评价通过收集组织的年碳排放量、组织年产品产量、产值或服务量等数据，依据公式计算得出。成熟度评价结果共三个星级，最高为三星。</w:t>
      </w:r>
    </w:p>
    <w:p>
      <w:pPr>
        <w:ind w:firstLine="643"/>
        <w:rPr>
          <w:rFonts w:hint="eastAsia"/>
        </w:rPr>
      </w:pPr>
      <w:r>
        <w:rPr>
          <w:rFonts w:hint="eastAsia"/>
          <w:b/>
          <w:bCs/>
        </w:rPr>
        <w:t>附录分为两个部分</w:t>
      </w:r>
      <w:r>
        <w:rPr>
          <w:rFonts w:hint="eastAsia"/>
        </w:rPr>
        <w:t>，第一部分明确了碳排放管理体系建设与评价指南的评价指标评分细则，解释了碳排放管理体系建设与评价指南指标体系的构成及打分方法。根据由定性评价和定量评价两部分累计相加的综合得分结果进行评价。第二部分提供了碳排放管理体系建设评价报告编写大纲及报告格式，给出了评价报告模板。</w:t>
      </w:r>
    </w:p>
    <w:p>
      <w:pPr>
        <w:ind w:firstLine="640"/>
        <w:rPr>
          <w:rFonts w:hint="eastAsia" w:ascii="黑体" w:hAnsi="黑体" w:eastAsia="黑体"/>
        </w:rPr>
      </w:pPr>
      <w:r>
        <w:rPr>
          <w:rFonts w:hint="eastAsia" w:ascii="黑体" w:hAnsi="黑体" w:eastAsia="黑体"/>
        </w:rPr>
        <w:t>五、涉及专利等知识产权问题</w:t>
      </w:r>
    </w:p>
    <w:p>
      <w:pPr>
        <w:ind w:firstLine="640"/>
        <w:rPr>
          <w:rFonts w:hint="eastAsia"/>
        </w:rPr>
      </w:pPr>
      <w:r>
        <w:rPr>
          <w:rFonts w:hint="eastAsia"/>
        </w:rPr>
        <w:t>本文件暂未发现涉及相关专利等知识产权问题。</w:t>
      </w:r>
    </w:p>
    <w:p>
      <w:pPr>
        <w:ind w:firstLine="640"/>
        <w:rPr>
          <w:rFonts w:hint="eastAsia" w:ascii="黑体" w:hAnsi="黑体" w:eastAsia="黑体"/>
        </w:rPr>
      </w:pPr>
      <w:r>
        <w:rPr>
          <w:rFonts w:hint="eastAsia" w:ascii="黑体" w:hAnsi="黑体" w:eastAsia="黑体"/>
        </w:rPr>
        <w:t>六、重大意见分歧的处理依据和结果</w:t>
      </w:r>
    </w:p>
    <w:p>
      <w:pPr>
        <w:ind w:firstLine="640"/>
        <w:rPr>
          <w:rFonts w:hint="eastAsia"/>
        </w:rPr>
      </w:pPr>
      <w:r>
        <w:rPr>
          <w:rFonts w:hint="eastAsia"/>
        </w:rPr>
        <w:t>本文件在制定过程中未出现重大分歧意见。</w:t>
      </w:r>
    </w:p>
    <w:p>
      <w:pPr>
        <w:ind w:firstLine="640"/>
        <w:rPr>
          <w:rFonts w:hint="eastAsia" w:ascii="黑体" w:hAnsi="黑体" w:eastAsia="黑体"/>
        </w:rPr>
      </w:pPr>
      <w:r>
        <w:rPr>
          <w:rFonts w:hint="eastAsia" w:ascii="黑体" w:hAnsi="黑体" w:eastAsia="黑体"/>
        </w:rPr>
        <w:t>七、实施地方标准的措施建议</w:t>
      </w:r>
    </w:p>
    <w:p>
      <w:pPr>
        <w:ind w:firstLine="640"/>
        <w:rPr>
          <w:rFonts w:hint="eastAsia"/>
        </w:rPr>
      </w:pPr>
      <w:bookmarkStart w:id="7" w:name="_Toc118274641"/>
      <w:r>
        <w:rPr>
          <w:rFonts w:hint="eastAsia"/>
        </w:rPr>
        <w:t>标准发布之后，建议主管部门从以下两个方面开展标准推广与实施工作：</w:t>
      </w:r>
    </w:p>
    <w:p>
      <w:pPr>
        <w:ind w:firstLine="643"/>
        <w:rPr>
          <w:rFonts w:hint="eastAsia"/>
          <w:b/>
          <w:bCs/>
        </w:rPr>
      </w:pPr>
      <w:r>
        <w:rPr>
          <w:rFonts w:hint="eastAsia"/>
          <w:b/>
          <w:bCs/>
        </w:rPr>
        <w:t>（一）开展宣贯培训活动</w:t>
      </w:r>
    </w:p>
    <w:p>
      <w:pPr>
        <w:ind w:firstLine="640"/>
        <w:rPr>
          <w:rFonts w:hint="eastAsia"/>
        </w:rPr>
      </w:pPr>
      <w:r>
        <w:rPr>
          <w:rFonts w:hint="eastAsia"/>
        </w:rPr>
        <w:t>按照深圳市地方标准管理的相关要求，地方标准发布实施后，由主管部门组织和督导本部门、本行业开展地方标准的宣贯、培训和实施工作。可充分利用电视、网络、报纸等媒体，以多渠道、多手段，线上、线下多种形式向标准应用相关方推广宣传标准，确保标准应用相关方准确理解并实施标准。</w:t>
      </w:r>
    </w:p>
    <w:p>
      <w:pPr>
        <w:ind w:firstLine="643"/>
        <w:rPr>
          <w:rFonts w:hint="eastAsia"/>
          <w:b/>
          <w:bCs/>
        </w:rPr>
      </w:pPr>
      <w:r>
        <w:rPr>
          <w:rFonts w:hint="eastAsia"/>
          <w:b/>
          <w:bCs/>
        </w:rPr>
        <w:t>（二）持续改进完善标准</w:t>
      </w:r>
    </w:p>
    <w:p>
      <w:pPr>
        <w:ind w:firstLine="640"/>
        <w:rPr>
          <w:rFonts w:hint="eastAsia"/>
        </w:rPr>
      </w:pPr>
      <w:r>
        <w:rPr>
          <w:rFonts w:hint="eastAsia"/>
        </w:rPr>
        <w:t>在标准实施的过程中，按照标准化的基本理念，通过实施检查、重复验证、持续改进等方式方法，确保标准实施有效。</w:t>
      </w:r>
    </w:p>
    <w:p>
      <w:pPr>
        <w:ind w:firstLine="640"/>
        <w:rPr>
          <w:rFonts w:hint="eastAsia" w:ascii="黑体" w:hAnsi="黑体" w:eastAsia="黑体"/>
        </w:rPr>
      </w:pPr>
      <w:r>
        <w:rPr>
          <w:rFonts w:hint="eastAsia" w:ascii="黑体" w:hAnsi="黑体" w:eastAsia="黑体"/>
        </w:rPr>
        <w:t>八、其他需要说明的事项</w:t>
      </w:r>
      <w:bookmarkEnd w:id="7"/>
    </w:p>
    <w:p>
      <w:pPr>
        <w:ind w:firstLine="640"/>
        <w:rPr>
          <w:rFonts w:hint="eastAsia"/>
        </w:rPr>
      </w:pPr>
      <w:r>
        <w:rPr>
          <w:rFonts w:hint="eastAsia"/>
        </w:rPr>
        <w:t>无。</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yZjllNWI0MTE2ZWQyNjk3MjdkMDA3MjZlMzhkMzEifQ=="/>
  </w:docVars>
  <w:rsids>
    <w:rsidRoot w:val="00200393"/>
    <w:rsid w:val="000073C9"/>
    <w:rsid w:val="000409DE"/>
    <w:rsid w:val="0004451D"/>
    <w:rsid w:val="000617FC"/>
    <w:rsid w:val="0008613C"/>
    <w:rsid w:val="00092ACC"/>
    <w:rsid w:val="00096F38"/>
    <w:rsid w:val="000A110C"/>
    <w:rsid w:val="000B7FA2"/>
    <w:rsid w:val="000D01B3"/>
    <w:rsid w:val="000D40E8"/>
    <w:rsid w:val="000E7453"/>
    <w:rsid w:val="000F017B"/>
    <w:rsid w:val="00102741"/>
    <w:rsid w:val="001039FC"/>
    <w:rsid w:val="00111F95"/>
    <w:rsid w:val="0012552E"/>
    <w:rsid w:val="00142E26"/>
    <w:rsid w:val="0014760F"/>
    <w:rsid w:val="00153A61"/>
    <w:rsid w:val="00173926"/>
    <w:rsid w:val="001751EF"/>
    <w:rsid w:val="001A47B8"/>
    <w:rsid w:val="001B44B7"/>
    <w:rsid w:val="001C1913"/>
    <w:rsid w:val="001C77BD"/>
    <w:rsid w:val="001C7CBB"/>
    <w:rsid w:val="001D4216"/>
    <w:rsid w:val="001D5840"/>
    <w:rsid w:val="001F2996"/>
    <w:rsid w:val="001F3DD9"/>
    <w:rsid w:val="00200393"/>
    <w:rsid w:val="00203465"/>
    <w:rsid w:val="00210B39"/>
    <w:rsid w:val="00213A36"/>
    <w:rsid w:val="00250259"/>
    <w:rsid w:val="00250874"/>
    <w:rsid w:val="00251535"/>
    <w:rsid w:val="002533F0"/>
    <w:rsid w:val="002634DB"/>
    <w:rsid w:val="00267A95"/>
    <w:rsid w:val="00270CC0"/>
    <w:rsid w:val="002A7C6C"/>
    <w:rsid w:val="002C698E"/>
    <w:rsid w:val="00321248"/>
    <w:rsid w:val="003369AF"/>
    <w:rsid w:val="00364B9F"/>
    <w:rsid w:val="00367E10"/>
    <w:rsid w:val="00371406"/>
    <w:rsid w:val="00390EFB"/>
    <w:rsid w:val="003A6891"/>
    <w:rsid w:val="003A748E"/>
    <w:rsid w:val="003B1A72"/>
    <w:rsid w:val="00401F46"/>
    <w:rsid w:val="0042309C"/>
    <w:rsid w:val="00442DE5"/>
    <w:rsid w:val="004448FA"/>
    <w:rsid w:val="004972A0"/>
    <w:rsid w:val="004A76E4"/>
    <w:rsid w:val="004B7768"/>
    <w:rsid w:val="004C19D9"/>
    <w:rsid w:val="004C4CDD"/>
    <w:rsid w:val="004D6E78"/>
    <w:rsid w:val="004E4AC9"/>
    <w:rsid w:val="004E746A"/>
    <w:rsid w:val="004F2508"/>
    <w:rsid w:val="005119D3"/>
    <w:rsid w:val="0051327F"/>
    <w:rsid w:val="00532E62"/>
    <w:rsid w:val="005379C8"/>
    <w:rsid w:val="00541333"/>
    <w:rsid w:val="0055238A"/>
    <w:rsid w:val="00570EE0"/>
    <w:rsid w:val="005A3304"/>
    <w:rsid w:val="0060096B"/>
    <w:rsid w:val="00614E90"/>
    <w:rsid w:val="0061578B"/>
    <w:rsid w:val="00616580"/>
    <w:rsid w:val="006232C7"/>
    <w:rsid w:val="006271C8"/>
    <w:rsid w:val="006356D3"/>
    <w:rsid w:val="00636E74"/>
    <w:rsid w:val="006439FD"/>
    <w:rsid w:val="00674FDC"/>
    <w:rsid w:val="006A29EC"/>
    <w:rsid w:val="006B1EA9"/>
    <w:rsid w:val="006B5732"/>
    <w:rsid w:val="006C0233"/>
    <w:rsid w:val="006E10AF"/>
    <w:rsid w:val="006F2EF5"/>
    <w:rsid w:val="00705159"/>
    <w:rsid w:val="0070640C"/>
    <w:rsid w:val="00714B31"/>
    <w:rsid w:val="00737606"/>
    <w:rsid w:val="007447F9"/>
    <w:rsid w:val="00745A2E"/>
    <w:rsid w:val="00776D17"/>
    <w:rsid w:val="00793BD3"/>
    <w:rsid w:val="00795BFE"/>
    <w:rsid w:val="007C55C0"/>
    <w:rsid w:val="007E3E57"/>
    <w:rsid w:val="007F3900"/>
    <w:rsid w:val="00812C5A"/>
    <w:rsid w:val="00820874"/>
    <w:rsid w:val="00832C5E"/>
    <w:rsid w:val="00841032"/>
    <w:rsid w:val="00847AEE"/>
    <w:rsid w:val="00870DDA"/>
    <w:rsid w:val="00882F40"/>
    <w:rsid w:val="008B4E1E"/>
    <w:rsid w:val="008C51FF"/>
    <w:rsid w:val="008E03FC"/>
    <w:rsid w:val="008E641A"/>
    <w:rsid w:val="00970F11"/>
    <w:rsid w:val="0097102E"/>
    <w:rsid w:val="00973107"/>
    <w:rsid w:val="009B2A31"/>
    <w:rsid w:val="009B6A44"/>
    <w:rsid w:val="009C09E6"/>
    <w:rsid w:val="009F07B9"/>
    <w:rsid w:val="00A0552B"/>
    <w:rsid w:val="00A143B3"/>
    <w:rsid w:val="00A34910"/>
    <w:rsid w:val="00A56236"/>
    <w:rsid w:val="00A63DB7"/>
    <w:rsid w:val="00A663C7"/>
    <w:rsid w:val="00A72DEA"/>
    <w:rsid w:val="00A77688"/>
    <w:rsid w:val="00A97759"/>
    <w:rsid w:val="00AA0528"/>
    <w:rsid w:val="00AA465F"/>
    <w:rsid w:val="00AB0022"/>
    <w:rsid w:val="00AB0F61"/>
    <w:rsid w:val="00AC3EDA"/>
    <w:rsid w:val="00B15573"/>
    <w:rsid w:val="00B16F30"/>
    <w:rsid w:val="00B22E83"/>
    <w:rsid w:val="00B3463F"/>
    <w:rsid w:val="00B35238"/>
    <w:rsid w:val="00B42A20"/>
    <w:rsid w:val="00B43401"/>
    <w:rsid w:val="00B73D74"/>
    <w:rsid w:val="00BA4F3F"/>
    <w:rsid w:val="00BB6F7F"/>
    <w:rsid w:val="00BB799D"/>
    <w:rsid w:val="00BC5973"/>
    <w:rsid w:val="00BD3937"/>
    <w:rsid w:val="00BE1934"/>
    <w:rsid w:val="00BF2E42"/>
    <w:rsid w:val="00C0333A"/>
    <w:rsid w:val="00C25C1B"/>
    <w:rsid w:val="00C33FEE"/>
    <w:rsid w:val="00C65E4D"/>
    <w:rsid w:val="00C8290E"/>
    <w:rsid w:val="00C86833"/>
    <w:rsid w:val="00CA2ADD"/>
    <w:rsid w:val="00CB3F13"/>
    <w:rsid w:val="00CC69E4"/>
    <w:rsid w:val="00D15712"/>
    <w:rsid w:val="00D30020"/>
    <w:rsid w:val="00D315A6"/>
    <w:rsid w:val="00D344F6"/>
    <w:rsid w:val="00D54386"/>
    <w:rsid w:val="00D643F0"/>
    <w:rsid w:val="00D64AFB"/>
    <w:rsid w:val="00D67C69"/>
    <w:rsid w:val="00D7629C"/>
    <w:rsid w:val="00D823A0"/>
    <w:rsid w:val="00D841B2"/>
    <w:rsid w:val="00DC01AB"/>
    <w:rsid w:val="00DC12B6"/>
    <w:rsid w:val="00DE1933"/>
    <w:rsid w:val="00DE72AC"/>
    <w:rsid w:val="00DF02B1"/>
    <w:rsid w:val="00E44843"/>
    <w:rsid w:val="00E5525E"/>
    <w:rsid w:val="00E6431E"/>
    <w:rsid w:val="00E71C47"/>
    <w:rsid w:val="00E72D3A"/>
    <w:rsid w:val="00E763B6"/>
    <w:rsid w:val="00EA0181"/>
    <w:rsid w:val="00EA5182"/>
    <w:rsid w:val="00EB3F04"/>
    <w:rsid w:val="00EB565C"/>
    <w:rsid w:val="00EF65C2"/>
    <w:rsid w:val="00F02F6C"/>
    <w:rsid w:val="00F233C4"/>
    <w:rsid w:val="00F23477"/>
    <w:rsid w:val="00F30CD6"/>
    <w:rsid w:val="00F420B0"/>
    <w:rsid w:val="00F56720"/>
    <w:rsid w:val="00F61E24"/>
    <w:rsid w:val="00F90881"/>
    <w:rsid w:val="00FA34DD"/>
    <w:rsid w:val="00FB70D0"/>
    <w:rsid w:val="00FC2129"/>
    <w:rsid w:val="00FE0602"/>
    <w:rsid w:val="00FE161A"/>
    <w:rsid w:val="00FF4D0E"/>
    <w:rsid w:val="1C05524E"/>
    <w:rsid w:val="3A9A6882"/>
    <w:rsid w:val="43B85ACC"/>
    <w:rsid w:val="4E501130"/>
    <w:rsid w:val="4F543F3A"/>
    <w:rsid w:val="694D7939"/>
    <w:rsid w:val="77D63858"/>
    <w:rsid w:val="7FCF1936"/>
    <w:rsid w:val="AFFF5A9D"/>
    <w:rsid w:val="D77F07D0"/>
    <w:rsid w:val="FE7F3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link w:val="16"/>
    <w:qFormat/>
    <w:uiPriority w:val="9"/>
    <w:pPr>
      <w:keepNext/>
      <w:keepLines/>
      <w:outlineLvl w:val="0"/>
    </w:pPr>
    <w:rPr>
      <w:rFonts w:ascii="黑体" w:hAnsi="黑体" w:eastAsia="黑体"/>
      <w:bCs/>
      <w:kern w:val="44"/>
      <w:szCs w:val="44"/>
    </w:rPr>
  </w:style>
  <w:style w:type="paragraph" w:styleId="3">
    <w:name w:val="heading 2"/>
    <w:basedOn w:val="1"/>
    <w:next w:val="1"/>
    <w:link w:val="11"/>
    <w:unhideWhenUsed/>
    <w:qFormat/>
    <w:uiPriority w:val="9"/>
    <w:pPr>
      <w:adjustRightInd w:val="0"/>
      <w:snapToGrid w:val="0"/>
      <w:ind w:firstLine="640"/>
      <w:outlineLvl w:val="1"/>
    </w:pPr>
    <w:rPr>
      <w:rFonts w:eastAsia="楷体_GB2312" w:cstheme="majorBidi"/>
      <w:b/>
      <w:szCs w:val="32"/>
    </w:rPr>
  </w:style>
  <w:style w:type="paragraph" w:styleId="4">
    <w:name w:val="heading 3"/>
    <w:basedOn w:val="1"/>
    <w:next w:val="1"/>
    <w:link w:val="12"/>
    <w:autoRedefine/>
    <w:unhideWhenUsed/>
    <w:qFormat/>
    <w:uiPriority w:val="9"/>
    <w:pPr>
      <w:keepNext/>
      <w:keepLines/>
      <w:adjustRightInd w:val="0"/>
      <w:snapToGrid w:val="0"/>
      <w:outlineLvl w:val="2"/>
    </w:pPr>
    <w:rPr>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35"/>
    <w:pPr>
      <w:keepNext/>
      <w:spacing w:line="240" w:lineRule="auto"/>
      <w:ind w:firstLine="0" w:firstLineChars="0"/>
      <w:jc w:val="center"/>
    </w:pPr>
    <w:rPr>
      <w:rFonts w:ascii="黑体" w:hAnsi="黑体" w:eastAsia="黑体" w:cstheme="majorBidi"/>
      <w:sz w:val="28"/>
      <w:szCs w:val="20"/>
    </w:rPr>
  </w:style>
  <w:style w:type="paragraph" w:styleId="6">
    <w:name w:val="footer"/>
    <w:basedOn w:val="1"/>
    <w:link w:val="18"/>
    <w:autoRedefine/>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7"/>
    <w:autoRedefine/>
    <w:unhideWhenUsed/>
    <w:qFormat/>
    <w:uiPriority w:val="99"/>
    <w:pPr>
      <w:tabs>
        <w:tab w:val="center" w:pos="4153"/>
        <w:tab w:val="right" w:pos="8306"/>
      </w:tabs>
      <w:snapToGrid w:val="0"/>
      <w:spacing w:line="240" w:lineRule="atLeast"/>
      <w:jc w:val="center"/>
    </w:pPr>
    <w:rPr>
      <w:sz w:val="18"/>
      <w:szCs w:val="18"/>
    </w:rPr>
  </w:style>
  <w:style w:type="paragraph" w:styleId="8">
    <w:name w:val="Title"/>
    <w:basedOn w:val="1"/>
    <w:next w:val="1"/>
    <w:link w:val="14"/>
    <w:autoRedefine/>
    <w:qFormat/>
    <w:uiPriority w:val="10"/>
    <w:pPr>
      <w:ind w:firstLine="0" w:firstLineChars="0"/>
      <w:jc w:val="center"/>
      <w:outlineLvl w:val="0"/>
    </w:pPr>
    <w:rPr>
      <w:rFonts w:ascii="方正小标宋简体" w:hAnsi="方正小标宋简体" w:eastAsia="方正小标宋简体" w:cstheme="majorBidi"/>
      <w:b/>
      <w:bCs/>
      <w:sz w:val="44"/>
      <w:szCs w:val="32"/>
    </w:rPr>
  </w:style>
  <w:style w:type="character" w:customStyle="1" w:styleId="11">
    <w:name w:val="标题 2 字符"/>
    <w:basedOn w:val="10"/>
    <w:link w:val="3"/>
    <w:autoRedefine/>
    <w:qFormat/>
    <w:uiPriority w:val="9"/>
    <w:rPr>
      <w:rFonts w:ascii="仿宋_GB2312" w:hAnsi="仿宋_GB2312" w:eastAsia="楷体_GB2312" w:cstheme="majorBidi"/>
      <w:b/>
      <w:sz w:val="32"/>
      <w:szCs w:val="32"/>
    </w:rPr>
  </w:style>
  <w:style w:type="character" w:customStyle="1" w:styleId="12">
    <w:name w:val="标题 3 字符"/>
    <w:basedOn w:val="10"/>
    <w:link w:val="4"/>
    <w:autoRedefine/>
    <w:qFormat/>
    <w:uiPriority w:val="9"/>
    <w:rPr>
      <w:rFonts w:ascii="仿宋_GB2312" w:hAnsi="仿宋_GB2312" w:eastAsia="仿宋_GB2312"/>
      <w:b/>
      <w:bCs/>
      <w:sz w:val="32"/>
      <w:szCs w:val="32"/>
    </w:rPr>
  </w:style>
  <w:style w:type="paragraph" w:styleId="13">
    <w:name w:val="No Spacing"/>
    <w:autoRedefine/>
    <w:qFormat/>
    <w:uiPriority w:val="1"/>
    <w:pPr>
      <w:widowControl w:val="0"/>
      <w:jc w:val="both"/>
    </w:pPr>
    <w:rPr>
      <w:rFonts w:eastAsia="仿宋_GB2312" w:asciiTheme="minorHAnsi" w:hAnsiTheme="minorHAnsi" w:cstheme="minorBidi"/>
      <w:kern w:val="2"/>
      <w:sz w:val="32"/>
      <w:szCs w:val="24"/>
      <w:lang w:val="en-US" w:eastAsia="zh-CN" w:bidi="ar-SA"/>
    </w:rPr>
  </w:style>
  <w:style w:type="character" w:customStyle="1" w:styleId="14">
    <w:name w:val="标题 字符"/>
    <w:basedOn w:val="10"/>
    <w:link w:val="8"/>
    <w:autoRedefine/>
    <w:qFormat/>
    <w:uiPriority w:val="10"/>
    <w:rPr>
      <w:rFonts w:ascii="方正小标宋简体" w:hAnsi="方正小标宋简体" w:eastAsia="方正小标宋简体" w:cstheme="majorBidi"/>
      <w:b/>
      <w:bCs/>
      <w:sz w:val="44"/>
      <w:szCs w:val="32"/>
    </w:rPr>
  </w:style>
  <w:style w:type="paragraph" w:styleId="15">
    <w:name w:val="List Paragraph"/>
    <w:basedOn w:val="1"/>
    <w:autoRedefine/>
    <w:qFormat/>
    <w:uiPriority w:val="34"/>
    <w:pPr>
      <w:ind w:firstLine="420"/>
    </w:pPr>
  </w:style>
  <w:style w:type="character" w:customStyle="1" w:styleId="16">
    <w:name w:val="标题 1 字符"/>
    <w:basedOn w:val="10"/>
    <w:link w:val="2"/>
    <w:autoRedefine/>
    <w:qFormat/>
    <w:uiPriority w:val="9"/>
    <w:rPr>
      <w:rFonts w:ascii="黑体" w:hAnsi="黑体" w:eastAsia="黑体"/>
      <w:bCs/>
      <w:kern w:val="44"/>
      <w:sz w:val="32"/>
      <w:szCs w:val="44"/>
    </w:rPr>
  </w:style>
  <w:style w:type="character" w:customStyle="1" w:styleId="17">
    <w:name w:val="页眉 字符"/>
    <w:basedOn w:val="10"/>
    <w:link w:val="7"/>
    <w:autoRedefine/>
    <w:qFormat/>
    <w:uiPriority w:val="99"/>
    <w:rPr>
      <w:rFonts w:ascii="仿宋_GB2312" w:hAnsi="仿宋_GB2312" w:eastAsia="仿宋_GB2312"/>
      <w:sz w:val="18"/>
      <w:szCs w:val="18"/>
    </w:rPr>
  </w:style>
  <w:style w:type="character" w:customStyle="1" w:styleId="18">
    <w:name w:val="页脚 字符"/>
    <w:basedOn w:val="10"/>
    <w:link w:val="6"/>
    <w:autoRedefine/>
    <w:qFormat/>
    <w:uiPriority w:val="99"/>
    <w:rPr>
      <w:rFonts w:ascii="仿宋_GB2312" w:hAnsi="仿宋_GB2312"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4350</Words>
  <Characters>4749</Characters>
  <Lines>34</Lines>
  <Paragraphs>9</Paragraphs>
  <TotalTime>0</TotalTime>
  <ScaleCrop>false</ScaleCrop>
  <LinksUpToDate>false</LinksUpToDate>
  <CharactersWithSpaces>4779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2023-08-17T17:18:00Z</dcterms:created>
  <dc:creator>赖启慧</dc:creator>
  <cp:lastModifiedBy>小陈</cp:lastModifiedBy>
  <dcterms:modified xsi:type="dcterms:W3CDTF">2024-11-21T03:22:25Z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F89214ECCFDC440096FF2944166852BC_13</vt:lpwstr>
  </property>
</Properties>
</file>