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20A6">
      <w:pPr>
        <w:adjustRightInd w:val="0"/>
        <w:snapToGrid w:val="0"/>
        <w:ind w:firstLine="0" w:firstLineChars="0"/>
        <w:jc w:val="both"/>
        <w:rPr>
          <w:rFonts w:hint="eastAsia" w:ascii="黑体" w:hAnsi="黑体" w:eastAsia="黑体" w:cs="黑体"/>
          <w:sz w:val="32"/>
          <w:szCs w:val="32"/>
          <w:lang w:val="en-US" w:eastAsia="zh-CN"/>
        </w:rPr>
      </w:pPr>
      <w:bookmarkStart w:id="0" w:name="_Toc149086868"/>
      <w:bookmarkStart w:id="1" w:name="_Toc149088424"/>
      <w:bookmarkStart w:id="8" w:name="_GoBack"/>
      <w:bookmarkEnd w:id="8"/>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199EC05">
      <w:pPr>
        <w:adjustRightInd w:val="0"/>
        <w:snapToGrid w:val="0"/>
        <w:ind w:firstLine="0" w:firstLineChars="0"/>
        <w:jc w:val="center"/>
        <w:rPr>
          <w:rFonts w:hint="eastAsia" w:ascii="方正小标宋简体" w:hAnsi="方正小标宋简体" w:eastAsia="方正小标宋简体" w:cstheme="majorBidi"/>
          <w:sz w:val="32"/>
          <w:szCs w:val="32"/>
        </w:rPr>
      </w:pPr>
    </w:p>
    <w:p w14:paraId="055F3B53">
      <w:pPr>
        <w:adjustRightInd w:val="0"/>
        <w:snapToGrid w:val="0"/>
        <w:ind w:firstLine="0" w:firstLineChars="0"/>
        <w:jc w:val="center"/>
        <w:rPr>
          <w:rFonts w:hint="eastAsia" w:ascii="方正小标宋简体" w:hAnsi="方正小标宋简体" w:eastAsia="方正小标宋简体" w:cstheme="majorBidi"/>
          <w:sz w:val="44"/>
          <w:szCs w:val="32"/>
        </w:rPr>
      </w:pPr>
      <w:r>
        <w:rPr>
          <w:rFonts w:hint="eastAsia" w:ascii="方正小标宋简体" w:hAnsi="方正小标宋简体" w:eastAsia="方正小标宋简体" w:cstheme="majorBidi"/>
          <w:sz w:val="44"/>
          <w:szCs w:val="32"/>
          <w:lang w:eastAsia="zh-CN"/>
        </w:rPr>
        <w:t>关于固定资产投资项目</w:t>
      </w:r>
      <w:r>
        <w:rPr>
          <w:rFonts w:hint="eastAsia" w:ascii="方正小标宋简体" w:hAnsi="方正小标宋简体" w:eastAsia="方正小标宋简体" w:cstheme="majorBidi"/>
          <w:sz w:val="44"/>
          <w:szCs w:val="32"/>
        </w:rPr>
        <w:t>碳排放评价</w:t>
      </w:r>
    </w:p>
    <w:p w14:paraId="2C80CC43">
      <w:pPr>
        <w:adjustRightInd w:val="0"/>
        <w:snapToGrid w:val="0"/>
        <w:ind w:firstLine="0" w:firstLineChars="0"/>
        <w:jc w:val="center"/>
        <w:rPr>
          <w:rFonts w:hint="eastAsia" w:ascii="方正小标宋简体" w:hAnsi="方正小标宋简体" w:eastAsia="方正小标宋简体" w:cstheme="majorBidi"/>
          <w:sz w:val="44"/>
          <w:szCs w:val="32"/>
        </w:rPr>
      </w:pPr>
      <w:r>
        <w:rPr>
          <w:rFonts w:hint="eastAsia" w:ascii="方正小标宋简体" w:hAnsi="方正小标宋简体" w:eastAsia="方正小标宋简体" w:cstheme="majorBidi"/>
          <w:sz w:val="44"/>
          <w:szCs w:val="32"/>
        </w:rPr>
        <w:t>有关事项的通知</w:t>
      </w:r>
    </w:p>
    <w:p w14:paraId="66A0890D">
      <w:pPr>
        <w:adjustRightInd w:val="0"/>
        <w:snapToGrid w:val="0"/>
        <w:ind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43252A6A">
      <w:pPr>
        <w:ind w:firstLine="0" w:firstLineChars="0"/>
        <w:rPr>
          <w:rFonts w:hint="eastAsia"/>
        </w:rPr>
      </w:pPr>
    </w:p>
    <w:p w14:paraId="70161399">
      <w:pPr>
        <w:ind w:firstLine="0" w:firstLineChars="0"/>
        <w:rPr>
          <w:rFonts w:hint="eastAsia"/>
        </w:rPr>
      </w:pPr>
      <w:r>
        <w:rPr>
          <w:rFonts w:hint="eastAsia"/>
        </w:rPr>
        <w:t>各有关单位：</w:t>
      </w:r>
    </w:p>
    <w:p w14:paraId="08591F66">
      <w:pPr>
        <w:ind w:firstLine="640" w:firstLineChars="0"/>
        <w:rPr>
          <w:rFonts w:hint="eastAsia"/>
        </w:rPr>
      </w:pPr>
      <w:r>
        <w:rPr>
          <w:rFonts w:hint="eastAsia"/>
        </w:rPr>
        <w:t>为建立能耗双控向碳排放双控全面转型新机制，落实《国务院办公厅关于印发&lt;加快构建碳排放双控制度体系工作方案&gt;的通知》（国办发〔2024〕39号）《固定资产投资项目节能审查和碳排放评价办法》（国家发展改革</w:t>
      </w:r>
      <w:r>
        <w:rPr>
          <w:rFonts w:hint="eastAsia"/>
          <w:lang w:eastAsia="zh-CN"/>
        </w:rPr>
        <w:t>委</w:t>
      </w:r>
      <w:r>
        <w:rPr>
          <w:rFonts w:hint="eastAsia"/>
        </w:rPr>
        <w:t>令2025年第31号）相关要求，加强固定资产投资项目能源消费和碳排放管理，现就</w:t>
      </w:r>
      <w:r>
        <w:rPr>
          <w:rFonts w:hint="eastAsia"/>
          <w:lang w:eastAsia="zh-CN"/>
        </w:rPr>
        <w:t>关于</w:t>
      </w:r>
      <w:r>
        <w:rPr>
          <w:rFonts w:hint="eastAsia"/>
        </w:rPr>
        <w:t>固定资产投资项目碳排放评价有关事项通知如下：</w:t>
      </w:r>
    </w:p>
    <w:p w14:paraId="0372D3BB">
      <w:pPr>
        <w:ind w:firstLine="640"/>
        <w:rPr>
          <w:rFonts w:hint="eastAsia"/>
        </w:rPr>
      </w:pPr>
      <w:r>
        <w:rPr>
          <w:rFonts w:hint="eastAsia" w:ascii="黑体" w:hAnsi="黑体" w:eastAsia="黑体"/>
        </w:rPr>
        <w:t>一、实施范围</w:t>
      </w:r>
    </w:p>
    <w:p w14:paraId="40E35B0B">
      <w:pPr>
        <w:ind w:firstLine="640"/>
        <w:rPr>
          <w:rFonts w:hint="eastAsia" w:eastAsia="仿宋_GB2312"/>
          <w:lang w:val="en-US" w:eastAsia="zh-CN"/>
        </w:rPr>
      </w:pPr>
      <w:r>
        <w:rPr>
          <w:rFonts w:hint="eastAsia"/>
        </w:rPr>
        <w:t>年综合能源消费量在5000吨标准煤及以上（或年煤炭消费量在5000吨及以上）的固定资产投资项目（包括新建、改建、扩建和技术改造等项目，建设地点、主要生产工艺和设备未改变的改建和技术改造项目按照建成投产后年综合能源消费增量计算，其他项目按照建成投产后年综合能源消费量计算,电力折算系数按当量值</w:t>
      </w:r>
      <w:r>
        <w:rPr>
          <w:rFonts w:hint="eastAsia"/>
          <w:lang w:eastAsia="zh-CN"/>
        </w:rPr>
        <w:t>，</w:t>
      </w:r>
      <w:r>
        <w:rPr>
          <w:rFonts w:hint="eastAsia"/>
          <w:lang w:val="en-US" w:eastAsia="zh-CN"/>
        </w:rPr>
        <w:t>以下简称“项目”</w:t>
      </w:r>
      <w:r>
        <w:rPr>
          <w:rFonts w:hint="eastAsia"/>
        </w:rPr>
        <w:t>）应同步开展碳排放评价</w:t>
      </w:r>
      <w:r>
        <w:rPr>
          <w:rFonts w:hint="eastAsia"/>
          <w:lang w:eastAsia="zh-CN"/>
        </w:rPr>
        <w:t>。</w:t>
      </w:r>
      <w:r>
        <w:rPr>
          <w:rFonts w:hint="eastAsia"/>
          <w:lang w:val="en-US" w:eastAsia="zh-CN"/>
        </w:rPr>
        <w:t>鼓励1000</w:t>
      </w:r>
      <w:r>
        <w:rPr>
          <w:rFonts w:hint="eastAsia"/>
        </w:rPr>
        <w:t>吨标准煤及以上（或年煤炭消费量在</w:t>
      </w:r>
      <w:r>
        <w:rPr>
          <w:rFonts w:hint="eastAsia"/>
          <w:lang w:val="en-US" w:eastAsia="zh-CN"/>
        </w:rPr>
        <w:t>1</w:t>
      </w:r>
      <w:r>
        <w:rPr>
          <w:rFonts w:hint="eastAsia"/>
        </w:rPr>
        <w:t>000吨及以上）的项目</w:t>
      </w:r>
      <w:r>
        <w:rPr>
          <w:rFonts w:hint="eastAsia"/>
          <w:lang w:val="en-US" w:eastAsia="zh-CN"/>
        </w:rPr>
        <w:t>同步开展</w:t>
      </w:r>
      <w:r>
        <w:rPr>
          <w:rFonts w:hint="eastAsia"/>
        </w:rPr>
        <w:t>碳排放评价</w:t>
      </w:r>
      <w:r>
        <w:rPr>
          <w:rFonts w:hint="eastAsia"/>
          <w:lang w:eastAsia="zh-CN"/>
        </w:rPr>
        <w:t>。</w:t>
      </w:r>
    </w:p>
    <w:p w14:paraId="14F44B2B">
      <w:pPr>
        <w:ind w:firstLine="640"/>
        <w:rPr>
          <w:rFonts w:hint="eastAsia" w:ascii="黑体" w:hAnsi="黑体" w:eastAsia="黑体"/>
        </w:rPr>
      </w:pPr>
      <w:r>
        <w:rPr>
          <w:rFonts w:hint="eastAsia" w:ascii="黑体" w:hAnsi="黑体" w:eastAsia="黑体"/>
        </w:rPr>
        <w:t>二、工作内容</w:t>
      </w:r>
    </w:p>
    <w:p w14:paraId="65202C5C">
      <w:pPr>
        <w:ind w:firstLine="640"/>
        <w:rPr>
          <w:rFonts w:hint="eastAsia" w:ascii="楷体_GB2312" w:hAnsi="楷体_GB2312" w:eastAsia="楷体_GB2312" w:cs="楷体_GB2312"/>
        </w:rPr>
      </w:pPr>
      <w:r>
        <w:rPr>
          <w:rFonts w:hint="eastAsia" w:ascii="楷体_GB2312" w:hAnsi="楷体_GB2312" w:eastAsia="楷体_GB2312" w:cs="楷体_GB2312"/>
        </w:rPr>
        <w:t>（一）同步开展碳排放评价</w:t>
      </w:r>
    </w:p>
    <w:p w14:paraId="28367941">
      <w:pPr>
        <w:ind w:firstLine="640"/>
        <w:rPr>
          <w:rFonts w:hint="eastAsia"/>
          <w:highlight w:val="yellow"/>
        </w:rPr>
      </w:pPr>
      <w:r>
        <w:rPr>
          <w:rFonts w:hint="eastAsia"/>
        </w:rPr>
        <w:t>建设单位应当在项目节能报告中同步开展碳排放评价，包括但不限于以下内容：评价依据、建设及运营方案节能降碳分析和比选、</w:t>
      </w:r>
      <w:r>
        <w:rPr>
          <w:rFonts w:hint="eastAsia"/>
          <w:lang w:eastAsia="zh-CN"/>
        </w:rPr>
        <w:t>节能</w:t>
      </w:r>
      <w:r>
        <w:rPr>
          <w:rFonts w:hint="eastAsia"/>
        </w:rPr>
        <w:t>降碳技术与管理措施评价</w:t>
      </w:r>
      <w:r>
        <w:rPr>
          <w:rFonts w:hint="eastAsia"/>
          <w:highlight w:val="none"/>
        </w:rPr>
        <w:t>、</w:t>
      </w:r>
      <w:r>
        <w:rPr>
          <w:rFonts w:hint="eastAsia"/>
        </w:rPr>
        <w:t>项目碳排放分析、项目碳排放绩效水平评价及碳排放评价结论等。</w:t>
      </w:r>
    </w:p>
    <w:p w14:paraId="393C9560">
      <w:pPr>
        <w:ind w:firstLine="640"/>
        <w:rPr>
          <w:rFonts w:hint="eastAsia" w:ascii="楷体_GB2312" w:hAnsi="楷体_GB2312" w:eastAsia="楷体_GB2312" w:cs="楷体_GB2312"/>
        </w:rPr>
      </w:pPr>
      <w:r>
        <w:rPr>
          <w:rFonts w:hint="eastAsia" w:ascii="楷体_GB2312" w:hAnsi="楷体_GB2312" w:eastAsia="楷体_GB2312" w:cs="楷体_GB2312"/>
        </w:rPr>
        <w:t>（二）加强绿色低碳技术应用</w:t>
      </w:r>
    </w:p>
    <w:p w14:paraId="6841C845">
      <w:pPr>
        <w:ind w:firstLine="640"/>
        <w:rPr>
          <w:rFonts w:hint="eastAsia"/>
        </w:rPr>
      </w:pPr>
      <w:r>
        <w:rPr>
          <w:rFonts w:hint="eastAsia"/>
        </w:rPr>
        <w:t>强化绿色低碳技术对固定资产投资项目碳减排的支撑作用，鼓励建设单位采用《绿色技术推广目录》《广东省节能技术、设备（产品）推荐目录》《深圳市绿色低碳技术、设备（产品）推广目录》等推广的高效制冷、新型储能、分布式能源、光储直柔、智能微电网、碳捕集利用和封存（CCUS）等绿色低碳技术，并在节能报告中分析所采用的节能降碳技术的可行性和节能降碳效益，降低固定资产投资项目碳排放水平。</w:t>
      </w:r>
    </w:p>
    <w:p w14:paraId="4AA82952">
      <w:pPr>
        <w:ind w:firstLine="640"/>
        <w:rPr>
          <w:rFonts w:hint="eastAsia" w:ascii="楷体_GB2312" w:hAnsi="楷体_GB2312" w:eastAsia="楷体_GB2312" w:cs="楷体_GB2312"/>
        </w:rPr>
      </w:pPr>
      <w:r>
        <w:rPr>
          <w:rFonts w:hint="eastAsia" w:ascii="楷体_GB2312" w:hAnsi="楷体_GB2312" w:eastAsia="楷体_GB2312" w:cs="楷体_GB2312"/>
        </w:rPr>
        <w:t>（三）鼓励可再生能源替代</w:t>
      </w:r>
    </w:p>
    <w:p w14:paraId="56B121EE">
      <w:pPr>
        <w:ind w:firstLine="640"/>
        <w:rPr>
          <w:rFonts w:hint="eastAsia"/>
          <w:highlight w:val="yellow"/>
        </w:rPr>
      </w:pPr>
      <w:r>
        <w:rPr>
          <w:rFonts w:hint="eastAsia"/>
        </w:rPr>
        <w:t>建设单位应按照“宜建尽建”原则积极建设分布式光伏，鼓励项目单位采购绿色电力、可再生能源绿色电力证书（以下简称绿电、绿证）等方式，提高可再生能源消费比例，并在节能报告中明确可再生能源消费量、比例及供给保障情况。</w:t>
      </w:r>
      <w:r>
        <w:rPr>
          <w:rFonts w:hint="eastAsia"/>
          <w:lang w:eastAsia="zh-CN"/>
        </w:rPr>
        <w:t>鼓励</w:t>
      </w:r>
      <w:r>
        <w:rPr>
          <w:rFonts w:hint="eastAsia"/>
          <w:highlight w:val="none"/>
        </w:rPr>
        <w:t>建设单位</w:t>
      </w:r>
      <w:r>
        <w:rPr>
          <w:rFonts w:hint="eastAsia"/>
          <w:highlight w:val="none"/>
          <w:lang w:eastAsia="zh-CN"/>
        </w:rPr>
        <w:t>积极</w:t>
      </w:r>
      <w:r>
        <w:rPr>
          <w:rFonts w:hint="eastAsia"/>
          <w:highlight w:val="none"/>
        </w:rPr>
        <w:t>采购绿电、绿证，积极探索在碳预算管理中的应用。</w:t>
      </w:r>
    </w:p>
    <w:p w14:paraId="35B21E4A">
      <w:pPr>
        <w:ind w:firstLine="640"/>
        <w:rPr>
          <w:rFonts w:hint="eastAsia" w:ascii="楷体_GB2312" w:hAnsi="楷体_GB2312" w:eastAsia="楷体_GB2312" w:cs="楷体_GB2312"/>
        </w:rPr>
      </w:pPr>
      <w:r>
        <w:rPr>
          <w:rFonts w:hint="eastAsia" w:ascii="楷体_GB2312" w:hAnsi="楷体_GB2312" w:eastAsia="楷体_GB2312" w:cs="楷体_GB2312"/>
        </w:rPr>
        <w:t>（四）建立碳排放管理体系</w:t>
      </w:r>
    </w:p>
    <w:p w14:paraId="3ABD8A42">
      <w:pPr>
        <w:ind w:firstLine="640"/>
        <w:rPr>
          <w:rFonts w:hint="eastAsia"/>
        </w:rPr>
      </w:pPr>
      <w:r>
        <w:rPr>
          <w:rFonts w:hint="eastAsia"/>
          <w:lang w:val="en-US" w:eastAsia="zh-CN"/>
        </w:rPr>
        <w:t>建设</w:t>
      </w:r>
      <w:r>
        <w:rPr>
          <w:rFonts w:hint="eastAsia"/>
        </w:rPr>
        <w:t>单位应建立完善碳排放管理制度，设立用能和碳排放管理岗位。鼓励年综合能源消费量在5000吨标准煤及以上（或年煤炭消费量在5000吨及以上）的项目同步建设碳排放在线连续自动监测系统，配备碳排放计量器具，加强碳排放监测、分析与管理。</w:t>
      </w:r>
    </w:p>
    <w:p w14:paraId="0644C455">
      <w:pPr>
        <w:ind w:firstLine="640"/>
        <w:rPr>
          <w:rFonts w:hint="eastAsia" w:ascii="楷体_GB2312" w:hAnsi="楷体_GB2312" w:eastAsia="楷体_GB2312" w:cs="楷体_GB2312"/>
        </w:rPr>
      </w:pPr>
      <w:r>
        <w:rPr>
          <w:rFonts w:hint="eastAsia" w:ascii="楷体_GB2312" w:hAnsi="楷体_GB2312" w:eastAsia="楷体_GB2312" w:cs="楷体_GB2312"/>
        </w:rPr>
        <w:t>（五）加强碳排放评价管理</w:t>
      </w:r>
    </w:p>
    <w:p w14:paraId="020983E8">
      <w:pPr>
        <w:ind w:firstLine="640"/>
        <w:rPr>
          <w:rFonts w:hint="eastAsia"/>
        </w:rPr>
      </w:pPr>
      <w:r>
        <w:rPr>
          <w:rFonts w:hint="eastAsia"/>
        </w:rPr>
        <w:t>节能评审机构对项目的建设及运营方案、碳排放水平、节能降碳措施以及对所在地完成节能降碳目标的影响等进行评审，作为节能审查的重要依据。节能审查机关出具的项目节能审查意见，应明确项目碳排放总量、碳排放强度和排放水平，对节能降碳措施提出明确要求。节能审查验收时，应就节能降碳措施落实情况等进行验收。节能主管部门要将节能审查意见、节能审查验收落实情况作为节能监察的重点内容。</w:t>
      </w:r>
    </w:p>
    <w:p w14:paraId="1F58C233">
      <w:pPr>
        <w:ind w:firstLine="640"/>
        <w:rPr>
          <w:rFonts w:hint="eastAsia" w:ascii="黑体" w:hAnsi="黑体" w:eastAsia="黑体"/>
        </w:rPr>
      </w:pPr>
      <w:r>
        <w:rPr>
          <w:rFonts w:hint="eastAsia" w:ascii="黑体" w:hAnsi="黑体" w:eastAsia="黑体"/>
        </w:rPr>
        <w:t>三、其他事项</w:t>
      </w:r>
    </w:p>
    <w:p w14:paraId="72ADCF0A">
      <w:pPr>
        <w:ind w:firstLine="640"/>
        <w:rPr>
          <w:rFonts w:hint="eastAsia"/>
        </w:rPr>
      </w:pPr>
      <w:r>
        <w:rPr>
          <w:rFonts w:hint="eastAsia"/>
        </w:rPr>
        <w:t>各有关单位要深刻认识开展项目碳排放评价对推动能耗双控向碳排放双控转变、助力实现全市碳达峰碳中和目标的重大意义。节能主管部门要会同行业主管部门加大节能降碳宣传引导，督促指导建设单位开展碳排放评价，落实好各项节能降碳措施，提高碳排放绩效水平。节能主管部门要会同有关单位健全完善项目碳排放评价标准，提升项目碳排放评价水平。</w:t>
      </w:r>
    </w:p>
    <w:p w14:paraId="35D4A990">
      <w:pPr>
        <w:ind w:firstLine="640"/>
        <w:rPr>
          <w:rFonts w:hint="eastAsia"/>
        </w:rPr>
      </w:pPr>
      <w:r>
        <w:rPr>
          <w:rFonts w:hint="eastAsia"/>
          <w:lang w:eastAsia="zh-CN"/>
        </w:rPr>
        <w:t>本通知自</w:t>
      </w:r>
      <w:r>
        <w:rPr>
          <w:rFonts w:hint="eastAsia"/>
          <w:lang w:val="en-US" w:eastAsia="zh-CN"/>
        </w:rPr>
        <w:t>2025年9月X日起施行。</w:t>
      </w:r>
      <w:r>
        <w:rPr>
          <w:rFonts w:hint="eastAsia"/>
        </w:rPr>
        <w:t>国家、省相关法律法规及政策文件另有规定的，从其规定。</w:t>
      </w:r>
    </w:p>
    <w:p w14:paraId="68C70A87">
      <w:pPr>
        <w:ind w:firstLine="640"/>
        <w:rPr>
          <w:rFonts w:hint="eastAsia"/>
        </w:rPr>
      </w:pPr>
    </w:p>
    <w:p w14:paraId="6118AD95">
      <w:pPr>
        <w:widowControl/>
        <w:adjustRightInd w:val="0"/>
        <w:snapToGrid w:val="0"/>
        <w:ind w:left="1600" w:leftChars="200" w:hanging="960" w:hangingChars="300"/>
        <w:jc w:val="left"/>
        <w:rPr>
          <w:rFonts w:hint="eastAsia"/>
        </w:rPr>
      </w:pPr>
      <w:r>
        <w:rPr>
          <w:rFonts w:hint="eastAsia"/>
        </w:rPr>
        <w:t>附件：深圳市固定资产投资项目碳排放评价要点</w:t>
      </w:r>
    </w:p>
    <w:p w14:paraId="7DC5DCAC">
      <w:pPr>
        <w:widowControl/>
        <w:adjustRightInd w:val="0"/>
        <w:snapToGrid w:val="0"/>
        <w:ind w:left="1357" w:leftChars="424" w:firstLine="3200" w:firstLineChars="1000"/>
        <w:jc w:val="left"/>
        <w:rPr>
          <w:rFonts w:hint="eastAsia"/>
        </w:rPr>
      </w:pPr>
      <w:r>
        <w:rPr>
          <w:rFonts w:hint="eastAsia"/>
        </w:rPr>
        <w:br w:type="page"/>
      </w:r>
    </w:p>
    <w:p w14:paraId="717886D7">
      <w:pPr>
        <w:ind w:firstLine="0" w:firstLineChars="0"/>
        <w:rPr>
          <w:rFonts w:hint="eastAsia" w:ascii="黑体" w:hAnsi="黑体" w:eastAsia="黑体" w:cs="黑体"/>
          <w:szCs w:val="32"/>
        </w:rPr>
      </w:pPr>
      <w:r>
        <w:rPr>
          <w:rFonts w:hint="eastAsia" w:ascii="黑体" w:hAnsi="黑体" w:eastAsia="黑体" w:cs="黑体"/>
          <w:szCs w:val="32"/>
        </w:rPr>
        <w:t>附件</w:t>
      </w:r>
    </w:p>
    <w:p w14:paraId="4F7FB3B3">
      <w:pPr>
        <w:ind w:firstLine="0" w:firstLineChars="0"/>
        <w:rPr>
          <w:rFonts w:hint="eastAsia"/>
        </w:rPr>
      </w:pPr>
    </w:p>
    <w:p w14:paraId="1C6D22CD">
      <w:pPr>
        <w:ind w:firstLine="0" w:firstLineChars="0"/>
        <w:jc w:val="center"/>
        <w:outlineLvl w:val="1"/>
        <w:rPr>
          <w:rFonts w:hint="eastAsia" w:ascii="方正小标宋简体" w:hAnsi="方正小标宋简体" w:eastAsia="方正小标宋简体" w:cstheme="majorBidi"/>
          <w:sz w:val="44"/>
          <w:szCs w:val="32"/>
        </w:rPr>
      </w:pPr>
      <w:r>
        <w:rPr>
          <w:rFonts w:hint="eastAsia" w:ascii="方正小标宋简体" w:hAnsi="方正小标宋简体" w:eastAsia="方正小标宋简体" w:cstheme="majorBidi"/>
          <w:sz w:val="44"/>
          <w:szCs w:val="32"/>
        </w:rPr>
        <w:t>深圳市固定资产投资项目碳排放评价</w:t>
      </w:r>
      <w:bookmarkEnd w:id="0"/>
      <w:bookmarkEnd w:id="1"/>
      <w:r>
        <w:rPr>
          <w:rFonts w:hint="eastAsia" w:ascii="方正小标宋简体" w:hAnsi="方正小标宋简体" w:eastAsia="方正小标宋简体" w:cstheme="majorBidi"/>
          <w:sz w:val="44"/>
          <w:szCs w:val="32"/>
        </w:rPr>
        <w:t>要点</w:t>
      </w:r>
    </w:p>
    <w:p w14:paraId="0E67B4FC">
      <w:pPr>
        <w:ind w:firstLine="640"/>
        <w:rPr>
          <w:rFonts w:hint="eastAsia"/>
        </w:rPr>
      </w:pPr>
    </w:p>
    <w:p w14:paraId="526D11C2">
      <w:pPr>
        <w:ind w:firstLine="640"/>
        <w:rPr>
          <w:rFonts w:hint="eastAsia" w:ascii="黑体" w:hAnsi="黑体" w:eastAsia="黑体"/>
        </w:rPr>
      </w:pPr>
      <w:bookmarkStart w:id="2" w:name="_Toc149086869"/>
      <w:r>
        <w:rPr>
          <w:rFonts w:hint="eastAsia" w:ascii="黑体" w:hAnsi="黑体" w:eastAsia="黑体"/>
        </w:rPr>
        <w:t>1、评价依据</w:t>
      </w:r>
    </w:p>
    <w:p w14:paraId="6C4191AA">
      <w:pPr>
        <w:ind w:firstLine="640"/>
        <w:rPr>
          <w:rFonts w:hint="eastAsia"/>
        </w:rPr>
      </w:pPr>
      <w:r>
        <w:rPr>
          <w:rFonts w:hint="eastAsia"/>
        </w:rPr>
        <w:t>按照准确、适用、全面的原则收集项目的政策符合性分析评价依据，</w:t>
      </w:r>
      <w:r>
        <w:rPr>
          <w:rFonts w:hint="eastAsia"/>
          <w:highlight w:val="none"/>
        </w:rPr>
        <w:t>并分析与有关标准要求的相符性</w:t>
      </w:r>
      <w:r>
        <w:rPr>
          <w:rFonts w:hint="eastAsia"/>
        </w:rPr>
        <w:t>。主要分析评价依据如下：</w:t>
      </w:r>
    </w:p>
    <w:p w14:paraId="3C1995E1">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（1）</w:t>
      </w:r>
      <w:r>
        <w:rPr>
          <w:rFonts w:hint="eastAsia"/>
        </w:rPr>
        <w:t>相关法律、法规、规划、</w:t>
      </w:r>
      <w:r>
        <w:rPr>
          <w:rFonts w:hint="eastAsia"/>
          <w:lang w:val="en-US" w:eastAsia="zh-CN"/>
        </w:rPr>
        <w:t>行业</w:t>
      </w:r>
      <w:r>
        <w:rPr>
          <w:rFonts w:hint="eastAsia"/>
        </w:rPr>
        <w:t>准入条件、产业政策</w:t>
      </w:r>
      <w:r>
        <w:rPr>
          <w:rFonts w:hint="eastAsia"/>
          <w:lang w:val="en-US" w:eastAsia="zh-CN"/>
        </w:rPr>
        <w:t>等</w:t>
      </w:r>
      <w:r>
        <w:rPr>
          <w:rFonts w:hint="eastAsia"/>
        </w:rPr>
        <w:t>；</w:t>
      </w:r>
    </w:p>
    <w:p w14:paraId="165D20BC">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（2）</w:t>
      </w:r>
      <w:r>
        <w:rPr>
          <w:rFonts w:hint="eastAsia"/>
        </w:rPr>
        <w:t>国家、地方和行业碳达峰行动方案；</w:t>
      </w:r>
    </w:p>
    <w:p w14:paraId="3E3CB1D9">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（3）</w:t>
      </w:r>
      <w:r>
        <w:rPr>
          <w:rFonts w:hint="eastAsia"/>
        </w:rPr>
        <w:t>相关标准及规范；</w:t>
      </w:r>
    </w:p>
    <w:p w14:paraId="7EF1ACB5">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（4）</w:t>
      </w:r>
      <w:r>
        <w:rPr>
          <w:rFonts w:hint="eastAsia"/>
        </w:rPr>
        <w:t>相关的节能降碳工艺、技术、装备、产品等推荐目录；</w:t>
      </w:r>
    </w:p>
    <w:p w14:paraId="6A456A32">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（5）</w:t>
      </w:r>
      <w:r>
        <w:rPr>
          <w:rFonts w:hint="eastAsia"/>
        </w:rPr>
        <w:t>国家明令淘汰的生产工艺、用能产品和设备目录；</w:t>
      </w:r>
    </w:p>
    <w:p w14:paraId="77DE0F84">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cstheme="minorBidi"/>
          <w:kern w:val="2"/>
          <w:sz w:val="32"/>
          <w:szCs w:val="24"/>
          <w:lang w:val="en-US" w:eastAsia="zh-CN" w:bidi="ar-SA"/>
        </w:rPr>
        <w:t>（6）</w:t>
      </w:r>
      <w:r>
        <w:rPr>
          <w:rFonts w:hint="eastAsia"/>
        </w:rPr>
        <w:t>项目立项或设计文件、技术协议及合同等。</w:t>
      </w:r>
    </w:p>
    <w:p w14:paraId="543F7BF5">
      <w:pPr>
        <w:ind w:firstLine="640"/>
        <w:rPr>
          <w:rFonts w:hint="eastAsia" w:ascii="黑体" w:hAnsi="黑体" w:eastAsia="黑体"/>
        </w:rPr>
      </w:pPr>
      <w:r>
        <w:rPr>
          <w:rFonts w:hint="eastAsia" w:ascii="黑体" w:hAnsi="黑体" w:eastAsia="黑体"/>
        </w:rPr>
        <w:t>2、建设及运营方案节能降碳分析和比选</w:t>
      </w:r>
    </w:p>
    <w:p w14:paraId="5D610EF1">
      <w:pPr>
        <w:ind w:firstLine="640"/>
        <w:rPr>
          <w:rFonts w:hint="eastAsia"/>
        </w:rPr>
      </w:pPr>
      <w:r>
        <w:rPr>
          <w:rFonts w:hint="eastAsia"/>
        </w:rPr>
        <w:t>在分析比选的基础上,介绍项目的主要建设及运营方案;对拟选择的建设及运营方案进行剖析,包括总平面布置、生产工艺、用能工艺、用能设备和能源计量器具等方面，查找节能降碳方面存在的潜力</w:t>
      </w:r>
      <w:r>
        <w:rPr>
          <w:rFonts w:hint="eastAsia"/>
          <w:lang w:eastAsia="zh-CN"/>
        </w:rPr>
        <w:t>，</w:t>
      </w:r>
      <w:r>
        <w:rPr>
          <w:rFonts w:hint="eastAsia"/>
        </w:rPr>
        <w:t>提出完善建设及运营方案的建议。</w:t>
      </w:r>
    </w:p>
    <w:p w14:paraId="5F781EB9">
      <w:pPr>
        <w:ind w:firstLine="640"/>
        <w:rPr>
          <w:rFonts w:hint="eastAsia" w:ascii="黑体" w:hAnsi="黑体" w:eastAsia="黑体"/>
        </w:rPr>
      </w:pPr>
      <w:r>
        <w:rPr>
          <w:rFonts w:hint="eastAsia" w:ascii="黑体" w:hAnsi="黑体" w:eastAsia="黑体"/>
        </w:rPr>
        <w:t>3、</w:t>
      </w:r>
      <w:r>
        <w:rPr>
          <w:rFonts w:hint="eastAsia" w:ascii="黑体" w:hAnsi="黑体" w:eastAsia="黑体"/>
          <w:lang w:val="en-US" w:eastAsia="zh-CN"/>
        </w:rPr>
        <w:t>节能</w:t>
      </w:r>
      <w:r>
        <w:rPr>
          <w:rFonts w:ascii="黑体" w:hAnsi="黑体" w:eastAsia="黑体"/>
        </w:rPr>
        <w:t>降碳措施</w:t>
      </w:r>
    </w:p>
    <w:p w14:paraId="683F8592">
      <w:pPr>
        <w:ind w:firstLine="640" w:firstLineChars="0"/>
        <w:rPr>
          <w:rFonts w:hint="eastAsia" w:ascii="楷体_GB2312" w:eastAsia="楷体_GB2312"/>
        </w:rPr>
      </w:pPr>
      <w:r>
        <w:rPr>
          <w:rFonts w:hint="eastAsia" w:ascii="楷体_GB2312" w:eastAsia="楷体_GB2312"/>
        </w:rPr>
        <w:t xml:space="preserve">3.1 </w:t>
      </w:r>
      <w:r>
        <w:rPr>
          <w:rFonts w:hint="eastAsia" w:ascii="楷体_GB2312" w:eastAsia="楷体_GB2312"/>
          <w:lang w:val="en-US" w:eastAsia="zh-CN"/>
        </w:rPr>
        <w:t>节能</w:t>
      </w:r>
      <w:r>
        <w:rPr>
          <w:rFonts w:hint="eastAsia" w:ascii="楷体_GB2312" w:eastAsia="楷体_GB2312"/>
        </w:rPr>
        <w:t>降碳技术措施评价</w:t>
      </w:r>
    </w:p>
    <w:p w14:paraId="35C188B8">
      <w:pPr>
        <w:ind w:firstLine="640"/>
        <w:rPr>
          <w:rFonts w:hint="eastAsia"/>
        </w:rPr>
      </w:pPr>
      <w:r>
        <w:rPr>
          <w:rFonts w:hint="eastAsia"/>
        </w:rPr>
        <w:t>明确项目碳减排措施，从能源利用、资源循环、节能降碳技术、碳捕集利用与封存技术等方面对拟采取碳减排措施开展减碳效益</w:t>
      </w:r>
      <w:r>
        <w:rPr>
          <w:rFonts w:hint="eastAsia"/>
          <w:lang w:val="en-US" w:eastAsia="zh-CN"/>
        </w:rPr>
        <w:t>评</w:t>
      </w:r>
      <w:r>
        <w:rPr>
          <w:rFonts w:hint="eastAsia"/>
        </w:rPr>
        <w:t>估及可行性论证，分析论证拟采取措施的技术可行性、经济合理性。减排措施可行性判定应以同类或相同措施的实际运行效果为依据，没有实际运行经验的，可提供工程化实验数据。采用碳捕集利用与封存技术的项目，应明确所捕集二氧化碳的利用去向。</w:t>
      </w:r>
    </w:p>
    <w:p w14:paraId="00448365">
      <w:pPr>
        <w:ind w:firstLine="640" w:firstLineChars="0"/>
        <w:rPr>
          <w:rFonts w:hint="eastAsia" w:ascii="楷体_GB2312" w:eastAsia="楷体_GB2312"/>
        </w:rPr>
      </w:pPr>
      <w:r>
        <w:rPr>
          <w:rFonts w:hint="eastAsia" w:ascii="楷体_GB2312" w:eastAsia="楷体_GB2312"/>
        </w:rPr>
        <w:t xml:space="preserve">3.2 </w:t>
      </w:r>
      <w:r>
        <w:rPr>
          <w:rFonts w:hint="eastAsia" w:ascii="楷体_GB2312" w:eastAsia="楷体_GB2312"/>
          <w:lang w:val="en-US" w:eastAsia="zh-CN"/>
        </w:rPr>
        <w:t>节能降碳</w:t>
      </w:r>
      <w:r>
        <w:rPr>
          <w:rFonts w:hint="eastAsia" w:ascii="楷体_GB2312" w:eastAsia="楷体_GB2312"/>
        </w:rPr>
        <w:t>管理措施评价</w:t>
      </w:r>
    </w:p>
    <w:p w14:paraId="2E63875E">
      <w:pPr>
        <w:ind w:firstLine="640"/>
        <w:rPr>
          <w:rFonts w:hint="eastAsia"/>
        </w:rPr>
      </w:pPr>
      <w:r>
        <w:t>从项目</w:t>
      </w:r>
      <w:r>
        <w:rPr>
          <w:rFonts w:hint="eastAsia"/>
        </w:rPr>
        <w:t>碳排放管理体系建设方案、碳排放监测系统建设以及碳排放数据统计等</w:t>
      </w:r>
      <w:r>
        <w:t>方面，对项目的碳排放管理措施进行评价。鼓励项目在规划阶段充分考虑碳足迹有关要求，积极降低各环节碳排放，推动构建绿色供应链。鼓励有条件的项目安装</w:t>
      </w:r>
      <w:r>
        <w:rPr>
          <w:rFonts w:hint="eastAsia"/>
        </w:rPr>
        <w:t>二氧化碳</w:t>
      </w:r>
      <w:r>
        <w:t>连续在线监测设施，并定期开展维护、检定和校准。</w:t>
      </w:r>
    </w:p>
    <w:p w14:paraId="48EC82E9">
      <w:pPr>
        <w:ind w:firstLine="640"/>
        <w:rPr>
          <w:rFonts w:hint="eastAsia" w:ascii="黑体" w:hAnsi="黑体" w:eastAsia="黑体"/>
        </w:rPr>
      </w:pPr>
      <w:r>
        <w:rPr>
          <w:rFonts w:hint="eastAsia" w:ascii="黑体" w:hAnsi="黑体" w:eastAsia="黑体"/>
        </w:rPr>
        <w:t>4、</w:t>
      </w:r>
      <w:r>
        <w:rPr>
          <w:rFonts w:ascii="黑体" w:hAnsi="黑体" w:eastAsia="黑体"/>
        </w:rPr>
        <w:t>项目碳排放分析</w:t>
      </w:r>
    </w:p>
    <w:p w14:paraId="6F57E80E">
      <w:pPr>
        <w:ind w:firstLine="640" w:firstLineChars="0"/>
        <w:rPr>
          <w:rFonts w:hint="default" w:ascii="楷体_GB2312" w:eastAsia="楷体_GB2312"/>
          <w:lang w:val="en-US" w:eastAsia="zh-CN"/>
        </w:rPr>
      </w:pPr>
      <w:r>
        <w:rPr>
          <w:rFonts w:hint="eastAsia" w:ascii="楷体_GB2312" w:eastAsia="楷体_GB2312"/>
        </w:rPr>
        <w:t xml:space="preserve">4.1 </w:t>
      </w:r>
      <w:r>
        <w:rPr>
          <w:rFonts w:hint="eastAsia" w:ascii="楷体_GB2312" w:eastAsia="楷体_GB2312"/>
          <w:lang w:val="en-US" w:eastAsia="zh-CN"/>
        </w:rPr>
        <w:t>确定核算边界及方法</w:t>
      </w:r>
    </w:p>
    <w:p w14:paraId="36E88D85">
      <w:pPr>
        <w:ind w:firstLine="640" w:firstLineChars="0"/>
        <w:rPr>
          <w:rFonts w:hint="eastAsia" w:ascii="楷体_GB2312" w:eastAsia="楷体_GB2312"/>
          <w:b/>
          <w:bCs/>
        </w:rPr>
      </w:pPr>
      <w:r>
        <w:rPr>
          <w:rFonts w:hint="eastAsia"/>
        </w:rPr>
        <w:t>明确</w:t>
      </w:r>
      <w:r>
        <w:rPr>
          <w:rFonts w:hint="eastAsia"/>
          <w:lang w:val="en-US" w:eastAsia="zh-CN"/>
        </w:rPr>
        <w:t>项目碳排放</w:t>
      </w:r>
      <w:r>
        <w:rPr>
          <w:rFonts w:hint="eastAsia"/>
        </w:rPr>
        <w:t>核算边界、运行边界、核算周期、量化方法。</w:t>
      </w:r>
      <w:r>
        <w:rPr>
          <w:rFonts w:hint="eastAsia" w:hAnsi="宋体" w:cs="宋体"/>
        </w:rPr>
        <w:t>核算边界应</w:t>
      </w:r>
      <w:r>
        <w:t>以</w:t>
      </w:r>
      <w:r>
        <w:rPr>
          <w:rFonts w:hint="eastAsia"/>
        </w:rPr>
        <w:t>固定资产投资项目立项文件中明确的项目红线等地理边界为核算边界，且需与项目整体用能边界一致，体现项目的完整性。改建、扩建和技术改造项目需分别识别建设前后项目地理边界作为核算边界进行核算。运行边界应包含范围1与范围2内的二氧化碳排放，</w:t>
      </w:r>
      <w:r>
        <w:t>涉及固碳产品及回收利用减少的排放量应单独说明。</w:t>
      </w:r>
      <w:r>
        <w:rPr>
          <w:rFonts w:hint="eastAsia"/>
        </w:rPr>
        <w:t>核算周期</w:t>
      </w:r>
      <w:r>
        <w:rPr>
          <w:rFonts w:hint="eastAsia" w:hAnsi="宋体" w:cs="宋体"/>
        </w:rPr>
        <w:t>应以自然年或连续12个月为周期。应选择和使用能得出准确、一致、可再现结果的量化方法，如排放因子法或物料平衡法。</w:t>
      </w:r>
      <w:r>
        <w:rPr>
          <w:rFonts w:hint="eastAsia"/>
        </w:rPr>
        <w:t>对于改建、扩建和技术改造项目还应设定基准年，</w:t>
      </w:r>
      <w:r>
        <w:rPr>
          <w:rFonts w:hint="eastAsia" w:hAnsi="宋体" w:cs="宋体"/>
        </w:rPr>
        <w:t>基准年的设定应具备有代表性、可核查的特点。</w:t>
      </w:r>
    </w:p>
    <w:p w14:paraId="723F3818">
      <w:pPr>
        <w:ind w:firstLine="640" w:firstLineChars="0"/>
        <w:rPr>
          <w:rFonts w:hint="eastAsia" w:ascii="楷体_GB2312" w:eastAsia="楷体_GB2312"/>
        </w:rPr>
      </w:pPr>
      <w:r>
        <w:rPr>
          <w:rFonts w:hint="eastAsia" w:ascii="楷体_GB2312" w:eastAsia="楷体_GB2312"/>
        </w:rPr>
        <w:t>4.2 识别碳排放源</w:t>
      </w:r>
    </w:p>
    <w:p w14:paraId="1617D127">
      <w:pPr>
        <w:ind w:firstLine="640"/>
        <w:rPr>
          <w:rFonts w:hint="eastAsia"/>
        </w:rPr>
      </w:pPr>
      <w:r>
        <w:rPr>
          <w:rFonts w:hint="eastAsia" w:hAnsi="宋体"/>
        </w:rPr>
        <w:t>应调查与收集固定资产投资项目主要经济、技术资料，识别碳排放源。对于</w:t>
      </w:r>
      <w:r>
        <w:rPr>
          <w:rFonts w:hint="eastAsia"/>
        </w:rPr>
        <w:t>改建、扩建和技术改造项目</w:t>
      </w:r>
      <w:r>
        <w:rPr>
          <w:rFonts w:hint="eastAsia" w:hAnsi="宋体"/>
        </w:rPr>
        <w:t>，应同时调查并收集现有项目评价基准年内的碳排放情况，并进行碳排放水平评价</w:t>
      </w:r>
      <w:r>
        <w:t>。</w:t>
      </w:r>
      <w:r>
        <w:rPr>
          <w:rFonts w:hint="eastAsia"/>
        </w:rPr>
        <w:t>应识别范围1、范围2的排放源,依次识别排放类别、排放源、排放设施、活动，并形成排放源识别</w:t>
      </w:r>
      <w:r>
        <w:rPr>
          <w:rFonts w:hint="eastAsia"/>
          <w:lang w:val="en-US" w:eastAsia="zh-CN"/>
        </w:rPr>
        <w:t>表</w:t>
      </w:r>
      <w:r>
        <w:rPr>
          <w:rFonts w:hint="eastAsia"/>
        </w:rPr>
        <w:t>。</w:t>
      </w:r>
      <w:bookmarkStart w:id="3" w:name="_Toc151494083"/>
      <w:bookmarkStart w:id="4" w:name="_Toc144924213"/>
      <w:bookmarkStart w:id="5" w:name="_Toc153186226"/>
      <w:bookmarkStart w:id="6" w:name="_Toc169690822"/>
    </w:p>
    <w:bookmarkEnd w:id="3"/>
    <w:bookmarkEnd w:id="4"/>
    <w:bookmarkEnd w:id="5"/>
    <w:p w14:paraId="3E18F281">
      <w:pPr>
        <w:ind w:firstLine="640"/>
        <w:jc w:val="center"/>
        <w:rPr>
          <w:rFonts w:hint="eastAsia" w:ascii="黑体" w:hAnsi="黑体" w:eastAsia="黑体" w:cs="黑体"/>
          <w:sz w:val="28"/>
          <w:szCs w:val="28"/>
        </w:rPr>
      </w:pPr>
      <w:r>
        <w:rPr>
          <w:rFonts w:hint="eastAsia" w:ascii="黑体" w:hAnsi="黑体" w:eastAsia="黑体" w:cs="黑体"/>
          <w:sz w:val="28"/>
          <w:szCs w:val="28"/>
        </w:rPr>
        <w:t>表1  排放源识别表</w:t>
      </w:r>
      <w:bookmarkEnd w:id="6"/>
      <w:r>
        <w:rPr>
          <w:rFonts w:hint="eastAsia" w:ascii="黑体" w:hAnsi="黑体" w:eastAsia="黑体" w:cs="黑体"/>
          <w:sz w:val="28"/>
          <w:szCs w:val="28"/>
        </w:rPr>
        <w:t>（样表）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880"/>
        <w:gridCol w:w="854"/>
        <w:gridCol w:w="1195"/>
        <w:gridCol w:w="1708"/>
        <w:gridCol w:w="1367"/>
      </w:tblGrid>
      <w:tr w14:paraId="1982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pct"/>
            <w:gridSpan w:val="2"/>
          </w:tcPr>
          <w:p w14:paraId="502D5D2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类别</w:t>
            </w:r>
          </w:p>
        </w:tc>
        <w:tc>
          <w:tcPr>
            <w:tcW w:w="501" w:type="pct"/>
          </w:tcPr>
          <w:p w14:paraId="7AE38F8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01" w:type="pct"/>
          </w:tcPr>
          <w:p w14:paraId="13FD225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排放源</w:t>
            </w:r>
          </w:p>
        </w:tc>
        <w:tc>
          <w:tcPr>
            <w:tcW w:w="1002" w:type="pct"/>
          </w:tcPr>
          <w:p w14:paraId="619B53C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设施/活动</w:t>
            </w:r>
          </w:p>
        </w:tc>
        <w:tc>
          <w:tcPr>
            <w:tcW w:w="802" w:type="pct"/>
          </w:tcPr>
          <w:p w14:paraId="16339228">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14:paraId="689D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restart"/>
            <w:vAlign w:val="center"/>
          </w:tcPr>
          <w:p w14:paraId="1046F13E">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范围1</w:t>
            </w:r>
          </w:p>
          <w:p w14:paraId="72B495C3">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直接碳排放</w:t>
            </w:r>
          </w:p>
        </w:tc>
        <w:tc>
          <w:tcPr>
            <w:tcW w:w="1103" w:type="pct"/>
          </w:tcPr>
          <w:p w14:paraId="140D788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燃烧排放</w:t>
            </w:r>
          </w:p>
        </w:tc>
        <w:tc>
          <w:tcPr>
            <w:tcW w:w="501" w:type="pct"/>
          </w:tcPr>
          <w:p w14:paraId="1A1B14B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22303125">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60B8A5F8">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06A97E2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200B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continue"/>
          </w:tcPr>
          <w:p w14:paraId="435987FF">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jc w:val="center"/>
              <w:textAlignment w:val="auto"/>
              <w:rPr>
                <w:rFonts w:hint="eastAsia" w:ascii="仿宋_GB2312" w:hAnsi="仿宋_GB2312" w:eastAsia="仿宋_GB2312" w:cs="仿宋_GB2312"/>
                <w:b w:val="0"/>
                <w:bCs w:val="0"/>
                <w:sz w:val="24"/>
                <w:szCs w:val="24"/>
              </w:rPr>
            </w:pPr>
          </w:p>
        </w:tc>
        <w:tc>
          <w:tcPr>
            <w:tcW w:w="1103" w:type="pct"/>
          </w:tcPr>
          <w:p w14:paraId="3D11B549">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过程排放</w:t>
            </w:r>
          </w:p>
        </w:tc>
        <w:tc>
          <w:tcPr>
            <w:tcW w:w="501" w:type="pct"/>
          </w:tcPr>
          <w:p w14:paraId="572B715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41356C9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6598DAA3">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34CFE986">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481C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continue"/>
          </w:tcPr>
          <w:p w14:paraId="05712415">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jc w:val="center"/>
              <w:textAlignment w:val="auto"/>
              <w:rPr>
                <w:rFonts w:hint="eastAsia" w:ascii="仿宋_GB2312" w:hAnsi="仿宋_GB2312" w:eastAsia="仿宋_GB2312" w:cs="仿宋_GB2312"/>
                <w:b w:val="0"/>
                <w:bCs w:val="0"/>
                <w:sz w:val="24"/>
                <w:szCs w:val="24"/>
              </w:rPr>
            </w:pPr>
          </w:p>
        </w:tc>
        <w:tc>
          <w:tcPr>
            <w:tcW w:w="1103" w:type="pct"/>
          </w:tcPr>
          <w:p w14:paraId="0587079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逸散排放</w:t>
            </w:r>
          </w:p>
        </w:tc>
        <w:tc>
          <w:tcPr>
            <w:tcW w:w="501" w:type="pct"/>
          </w:tcPr>
          <w:p w14:paraId="09B05FA8">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3030B8A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30CBCA8F">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6F5B0E2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29A4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restart"/>
            <w:vAlign w:val="center"/>
          </w:tcPr>
          <w:p w14:paraId="17D8045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范围2</w:t>
            </w:r>
          </w:p>
          <w:p w14:paraId="641712A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能源间接碳排放</w:t>
            </w:r>
          </w:p>
        </w:tc>
        <w:tc>
          <w:tcPr>
            <w:tcW w:w="1103" w:type="pct"/>
          </w:tcPr>
          <w:p w14:paraId="0026A1E8">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外购电力</w:t>
            </w:r>
          </w:p>
        </w:tc>
        <w:tc>
          <w:tcPr>
            <w:tcW w:w="501" w:type="pct"/>
          </w:tcPr>
          <w:p w14:paraId="44A1BBD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79F3F02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73E4FCF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4C43DE6F">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542D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continue"/>
            <w:vAlign w:val="center"/>
          </w:tcPr>
          <w:p w14:paraId="1EBEE31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hAnsi="宋体" w:cs="宋体"/>
                <w:b w:val="0"/>
                <w:bCs w:val="0"/>
                <w:sz w:val="18"/>
                <w:szCs w:val="18"/>
              </w:rPr>
            </w:pPr>
          </w:p>
        </w:tc>
        <w:tc>
          <w:tcPr>
            <w:tcW w:w="1103" w:type="pct"/>
          </w:tcPr>
          <w:p w14:paraId="27A26E8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外购绿电绿证</w:t>
            </w:r>
          </w:p>
        </w:tc>
        <w:tc>
          <w:tcPr>
            <w:tcW w:w="501" w:type="pct"/>
          </w:tcPr>
          <w:p w14:paraId="3B17DD1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1D216551">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6C85B4F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3E0FC1B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6167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continue"/>
          </w:tcPr>
          <w:p w14:paraId="62BA528E">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1103" w:type="pct"/>
          </w:tcPr>
          <w:p w14:paraId="2DF2E43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外购热</w:t>
            </w:r>
          </w:p>
        </w:tc>
        <w:tc>
          <w:tcPr>
            <w:tcW w:w="501" w:type="pct"/>
          </w:tcPr>
          <w:p w14:paraId="1A3DECF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701" w:type="pct"/>
          </w:tcPr>
          <w:p w14:paraId="09616E0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b w:val="0"/>
                <w:bCs w:val="0"/>
                <w:sz w:val="18"/>
                <w:szCs w:val="18"/>
              </w:rPr>
            </w:pPr>
          </w:p>
        </w:tc>
        <w:tc>
          <w:tcPr>
            <w:tcW w:w="1002" w:type="pct"/>
          </w:tcPr>
          <w:p w14:paraId="10B2A50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c>
          <w:tcPr>
            <w:tcW w:w="802" w:type="pct"/>
          </w:tcPr>
          <w:p w14:paraId="70EC460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b w:val="0"/>
                <w:bCs w:val="0"/>
                <w:sz w:val="18"/>
                <w:szCs w:val="18"/>
              </w:rPr>
            </w:pPr>
          </w:p>
        </w:tc>
      </w:tr>
      <w:tr w14:paraId="57C4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vMerge w:val="continue"/>
          </w:tcPr>
          <w:p w14:paraId="3CDEC913">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sz w:val="18"/>
                <w:szCs w:val="18"/>
              </w:rPr>
            </w:pPr>
          </w:p>
        </w:tc>
        <w:tc>
          <w:tcPr>
            <w:tcW w:w="1103" w:type="pct"/>
          </w:tcPr>
          <w:p w14:paraId="12ECA951">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外购冷</w:t>
            </w:r>
          </w:p>
        </w:tc>
        <w:tc>
          <w:tcPr>
            <w:tcW w:w="501" w:type="pct"/>
          </w:tcPr>
          <w:p w14:paraId="71CC046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sz w:val="18"/>
                <w:szCs w:val="18"/>
              </w:rPr>
            </w:pPr>
          </w:p>
        </w:tc>
        <w:tc>
          <w:tcPr>
            <w:tcW w:w="701" w:type="pct"/>
          </w:tcPr>
          <w:p w14:paraId="01A031E6">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textAlignment w:val="auto"/>
              <w:rPr>
                <w:rFonts w:hint="eastAsia" w:hAnsi="宋体" w:cs="宋体"/>
                <w:sz w:val="18"/>
                <w:szCs w:val="18"/>
              </w:rPr>
            </w:pPr>
          </w:p>
        </w:tc>
        <w:tc>
          <w:tcPr>
            <w:tcW w:w="1002" w:type="pct"/>
          </w:tcPr>
          <w:p w14:paraId="65A49F2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sz w:val="18"/>
                <w:szCs w:val="18"/>
              </w:rPr>
            </w:pPr>
          </w:p>
        </w:tc>
        <w:tc>
          <w:tcPr>
            <w:tcW w:w="802" w:type="pct"/>
          </w:tcPr>
          <w:p w14:paraId="425EBF8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360"/>
              <w:textAlignment w:val="auto"/>
              <w:rPr>
                <w:rFonts w:hint="eastAsia" w:hAnsi="宋体" w:cs="宋体"/>
                <w:sz w:val="18"/>
                <w:szCs w:val="18"/>
              </w:rPr>
            </w:pPr>
          </w:p>
        </w:tc>
      </w:tr>
    </w:tbl>
    <w:p w14:paraId="5BFB90DB">
      <w:pPr>
        <w:ind w:firstLine="640" w:firstLineChars="0"/>
        <w:rPr>
          <w:rFonts w:hint="eastAsia" w:ascii="楷体_GB2312" w:eastAsia="楷体_GB2312"/>
        </w:rPr>
      </w:pPr>
      <w:r>
        <w:rPr>
          <w:rFonts w:hint="eastAsia" w:ascii="楷体_GB2312" w:eastAsia="楷体_GB2312"/>
        </w:rPr>
        <w:t>4.3 收集碳排放数据</w:t>
      </w:r>
    </w:p>
    <w:p w14:paraId="4E9EE491">
      <w:pPr>
        <w:ind w:firstLine="640"/>
        <w:rPr>
          <w:rFonts w:hint="eastAsia"/>
        </w:rPr>
      </w:pPr>
      <w:r>
        <w:rPr>
          <w:rFonts w:hint="eastAsia"/>
        </w:rPr>
        <w:t>应收集项目活动水平数据、排放因子相关数据。可通过项目可行性研究报告、立项或设计文件以及建设单位提供的相关技术材料、合同等获取活动水平数据信息。改建、扩建和技术改造项目基准年活动水平数据可来源于连续测量数据、间歇测量数据或推估数据。排放因子的选择应满足其在计算期内的时效性，确保满足符合性、科学性、真实性的原则，应优先选择数据质量较高的排放因子。</w:t>
      </w:r>
    </w:p>
    <w:p w14:paraId="7009CD28">
      <w:pPr>
        <w:ind w:firstLine="640"/>
        <w:jc w:val="center"/>
        <w:rPr>
          <w:rFonts w:hint="eastAsia"/>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2436F8DC">
      <w:pPr>
        <w:ind w:firstLine="640"/>
        <w:jc w:val="center"/>
        <w:rPr>
          <w:rFonts w:hint="eastAsia" w:ascii="黑体" w:hAnsi="黑体" w:eastAsia="黑体" w:cs="黑体"/>
          <w:sz w:val="28"/>
          <w:szCs w:val="28"/>
        </w:rPr>
      </w:pPr>
      <w:r>
        <w:rPr>
          <w:rFonts w:hint="eastAsia" w:ascii="黑体" w:hAnsi="黑体" w:eastAsia="黑体" w:cs="黑体"/>
          <w:sz w:val="28"/>
          <w:szCs w:val="28"/>
        </w:rPr>
        <w:t>表2  活动水平数据与排放因子选择表（样表）</w:t>
      </w:r>
    </w:p>
    <w:tbl>
      <w:tblPr>
        <w:tblStyle w:val="12"/>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286"/>
        <w:gridCol w:w="1134"/>
        <w:gridCol w:w="767"/>
        <w:gridCol w:w="979"/>
        <w:gridCol w:w="1118"/>
        <w:gridCol w:w="1396"/>
        <w:gridCol w:w="702"/>
      </w:tblGrid>
      <w:tr w14:paraId="3466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7" w:type="dxa"/>
            <w:gridSpan w:val="3"/>
            <w:vAlign w:val="center"/>
          </w:tcPr>
          <w:p w14:paraId="7AFEC0DA">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排放源信息</w:t>
            </w:r>
          </w:p>
        </w:tc>
        <w:tc>
          <w:tcPr>
            <w:tcW w:w="1746" w:type="dxa"/>
            <w:gridSpan w:val="2"/>
            <w:vAlign w:val="center"/>
          </w:tcPr>
          <w:p w14:paraId="55807345">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活动水平数据</w:t>
            </w:r>
          </w:p>
        </w:tc>
        <w:tc>
          <w:tcPr>
            <w:tcW w:w="2514" w:type="dxa"/>
            <w:gridSpan w:val="2"/>
            <w:vAlign w:val="center"/>
          </w:tcPr>
          <w:p w14:paraId="794AA3E3">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排放因子</w:t>
            </w:r>
          </w:p>
        </w:tc>
        <w:tc>
          <w:tcPr>
            <w:tcW w:w="702" w:type="dxa"/>
            <w:vMerge w:val="restart"/>
            <w:vAlign w:val="center"/>
          </w:tcPr>
          <w:p w14:paraId="1A183C0C">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14:paraId="161B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14:paraId="41AF8A55">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286" w:type="dxa"/>
            <w:vAlign w:val="center"/>
          </w:tcPr>
          <w:p w14:paraId="7AEE4847">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排放源</w:t>
            </w:r>
          </w:p>
        </w:tc>
        <w:tc>
          <w:tcPr>
            <w:tcW w:w="1134" w:type="dxa"/>
            <w:vAlign w:val="center"/>
          </w:tcPr>
          <w:p w14:paraId="5D522E19">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设施/活动</w:t>
            </w:r>
          </w:p>
        </w:tc>
        <w:tc>
          <w:tcPr>
            <w:tcW w:w="767" w:type="dxa"/>
            <w:vAlign w:val="center"/>
          </w:tcPr>
          <w:p w14:paraId="0772403D">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数据值</w:t>
            </w:r>
          </w:p>
        </w:tc>
        <w:tc>
          <w:tcPr>
            <w:tcW w:w="979" w:type="dxa"/>
            <w:vAlign w:val="center"/>
          </w:tcPr>
          <w:p w14:paraId="01A9C319">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数据单位</w:t>
            </w:r>
          </w:p>
        </w:tc>
        <w:tc>
          <w:tcPr>
            <w:tcW w:w="1118" w:type="dxa"/>
            <w:vAlign w:val="center"/>
          </w:tcPr>
          <w:p w14:paraId="5243878A">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排放因子值</w:t>
            </w:r>
          </w:p>
        </w:tc>
        <w:tc>
          <w:tcPr>
            <w:tcW w:w="1396" w:type="dxa"/>
            <w:vAlign w:val="center"/>
          </w:tcPr>
          <w:p w14:paraId="4D793537">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排放因子单位</w:t>
            </w:r>
          </w:p>
        </w:tc>
        <w:tc>
          <w:tcPr>
            <w:tcW w:w="702" w:type="dxa"/>
            <w:vMerge w:val="continue"/>
            <w:vAlign w:val="center"/>
          </w:tcPr>
          <w:p w14:paraId="6CC86BA4">
            <w:pPr>
              <w:pStyle w:val="23"/>
              <w:keepNext w:val="0"/>
              <w:keepLines w:val="0"/>
              <w:pageBreakBefore w:val="0"/>
              <w:widowControl/>
              <w:kinsoku/>
              <w:wordWrap/>
              <w:overflowPunct/>
              <w:topLinePunct w:val="0"/>
              <w:autoSpaceDE w:val="0"/>
              <w:autoSpaceDN w:val="0"/>
              <w:bidi w:val="0"/>
              <w:adjustRightInd/>
              <w:snapToGrid/>
              <w:spacing w:line="400" w:lineRule="exact"/>
              <w:ind w:firstLine="0" w:firstLineChars="0"/>
              <w:jc w:val="center"/>
              <w:textAlignment w:val="auto"/>
              <w:rPr>
                <w:rFonts w:hint="eastAsia" w:ascii="仿宋_GB2312" w:hAnsi="仿宋_GB2312" w:eastAsia="仿宋_GB2312" w:cs="仿宋_GB2312"/>
                <w:sz w:val="24"/>
                <w:szCs w:val="24"/>
              </w:rPr>
            </w:pPr>
          </w:p>
        </w:tc>
      </w:tr>
      <w:tr w14:paraId="1985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49EB5B4A">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286" w:type="dxa"/>
          </w:tcPr>
          <w:p w14:paraId="22A0A127">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134" w:type="dxa"/>
          </w:tcPr>
          <w:p w14:paraId="01CAA98B">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767" w:type="dxa"/>
          </w:tcPr>
          <w:p w14:paraId="5B2D9872">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979" w:type="dxa"/>
          </w:tcPr>
          <w:p w14:paraId="4F9ADDF7">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118" w:type="dxa"/>
          </w:tcPr>
          <w:p w14:paraId="19B911E1">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396" w:type="dxa"/>
          </w:tcPr>
          <w:p w14:paraId="72B6DB20">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702" w:type="dxa"/>
          </w:tcPr>
          <w:p w14:paraId="2C4F773B">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r>
      <w:tr w14:paraId="28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14:paraId="0FE301B5">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286" w:type="dxa"/>
          </w:tcPr>
          <w:p w14:paraId="0F4CB088">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134" w:type="dxa"/>
          </w:tcPr>
          <w:p w14:paraId="61319F52">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767" w:type="dxa"/>
          </w:tcPr>
          <w:p w14:paraId="22425A81">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979" w:type="dxa"/>
          </w:tcPr>
          <w:p w14:paraId="594EE1F3">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118" w:type="dxa"/>
          </w:tcPr>
          <w:p w14:paraId="7A1E6A49">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1396" w:type="dxa"/>
          </w:tcPr>
          <w:p w14:paraId="391ABE24">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c>
          <w:tcPr>
            <w:tcW w:w="702" w:type="dxa"/>
          </w:tcPr>
          <w:p w14:paraId="1863E835">
            <w:pPr>
              <w:pStyle w:val="23"/>
              <w:keepNext w:val="0"/>
              <w:keepLines w:val="0"/>
              <w:pageBreakBefore w:val="0"/>
              <w:widowControl/>
              <w:kinsoku/>
              <w:wordWrap/>
              <w:overflowPunct/>
              <w:topLinePunct w:val="0"/>
              <w:autoSpaceDE w:val="0"/>
              <w:autoSpaceDN w:val="0"/>
              <w:bidi w:val="0"/>
              <w:adjustRightInd/>
              <w:snapToGrid/>
              <w:spacing w:line="400" w:lineRule="exact"/>
              <w:ind w:left="420" w:firstLine="0" w:firstLineChars="0"/>
              <w:jc w:val="center"/>
              <w:textAlignment w:val="auto"/>
              <w:rPr>
                <w:rFonts w:hint="eastAsia" w:ascii="仿宋_GB2312" w:hAnsi="仿宋_GB2312" w:eastAsia="仿宋_GB2312" w:cs="仿宋_GB2312"/>
                <w:sz w:val="24"/>
                <w:szCs w:val="24"/>
              </w:rPr>
            </w:pPr>
          </w:p>
        </w:tc>
      </w:tr>
    </w:tbl>
    <w:p w14:paraId="7C12787A">
      <w:pPr>
        <w:ind w:firstLine="640" w:firstLineChars="0"/>
        <w:rPr>
          <w:rFonts w:hint="eastAsia" w:ascii="楷体_GB2312" w:eastAsia="楷体_GB2312"/>
        </w:rPr>
      </w:pPr>
      <w:r>
        <w:rPr>
          <w:rFonts w:hint="eastAsia" w:ascii="楷体_GB2312" w:eastAsia="楷体_GB2312"/>
        </w:rPr>
        <w:t>4.4 核算碳排放量</w:t>
      </w:r>
    </w:p>
    <w:p w14:paraId="51A5B01E">
      <w:pPr>
        <w:ind w:firstLine="640"/>
        <w:rPr>
          <w:rFonts w:hint="eastAsia"/>
        </w:rPr>
      </w:pPr>
      <w:r>
        <w:rPr>
          <w:rFonts w:hint="eastAsia"/>
        </w:rPr>
        <w:t>依据</w:t>
      </w:r>
      <w:bookmarkStart w:id="7" w:name="_Hlk204593183"/>
      <w:r>
        <w:rPr>
          <w:rFonts w:hint="eastAsia"/>
        </w:rPr>
        <w:t>DB4403/T 658—2025《固定资产投资项目碳排放评价技术指南》</w:t>
      </w:r>
      <w:bookmarkEnd w:id="7"/>
      <w:r>
        <w:rPr>
          <w:rFonts w:hint="eastAsia"/>
        </w:rPr>
        <w:t>、DB4403/T 628—2025《组织温室气体排放核算和报告指南》、ISO 14064-1《温室气体第一部分 在组织层面上对温室气体排放和清除的量化和报告进行指导的规范》和相关行业标准等被广泛认可的标准文件，针对固定资产投资项目的设计工况运行场景开展运行阶段年度碳排放量的预估核算。</w:t>
      </w:r>
    </w:p>
    <w:p w14:paraId="299CCF49">
      <w:pPr>
        <w:ind w:firstLine="640"/>
        <w:rPr>
          <w:rFonts w:hint="eastAsia"/>
        </w:rPr>
      </w:pPr>
      <w:r>
        <w:rPr>
          <w:rFonts w:hint="eastAsia"/>
        </w:rPr>
        <w:t>对改建、扩建和技术改造项目的碳排放量的核算，应分别按现有、改扩建和技术改造实施后等情形，汇总二氧化碳排放量及其变化量，核算改建、扩建和技术改造项目建成后最终碳排放量。</w:t>
      </w:r>
    </w:p>
    <w:p w14:paraId="09EBD451">
      <w:pPr>
        <w:ind w:firstLine="640"/>
        <w:jc w:val="center"/>
        <w:rPr>
          <w:rFonts w:hint="eastAsia" w:ascii="黑体" w:hAnsi="黑体" w:eastAsia="黑体" w:cs="黑体"/>
          <w:sz w:val="28"/>
          <w:szCs w:val="28"/>
        </w:rPr>
      </w:pPr>
      <w:r>
        <w:rPr>
          <w:rFonts w:hint="eastAsia" w:ascii="黑体" w:hAnsi="黑体" w:eastAsia="黑体" w:cs="黑体"/>
          <w:sz w:val="28"/>
          <w:szCs w:val="28"/>
        </w:rPr>
        <w:t>表3  碳排放总量核算表（样表）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02"/>
        <w:gridCol w:w="887"/>
        <w:gridCol w:w="792"/>
        <w:gridCol w:w="907"/>
        <w:gridCol w:w="965"/>
        <w:gridCol w:w="1207"/>
        <w:gridCol w:w="1242"/>
        <w:gridCol w:w="709"/>
      </w:tblGrid>
      <w:tr w14:paraId="1B69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gridSpan w:val="3"/>
            <w:vAlign w:val="center"/>
          </w:tcPr>
          <w:p w14:paraId="2DC0C97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排放源信息</w:t>
            </w:r>
          </w:p>
        </w:tc>
        <w:tc>
          <w:tcPr>
            <w:tcW w:w="1699" w:type="dxa"/>
            <w:gridSpan w:val="2"/>
            <w:vAlign w:val="center"/>
          </w:tcPr>
          <w:p w14:paraId="5CDC15B6">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活动水平数据</w:t>
            </w:r>
          </w:p>
        </w:tc>
        <w:tc>
          <w:tcPr>
            <w:tcW w:w="2172" w:type="dxa"/>
            <w:gridSpan w:val="2"/>
            <w:vAlign w:val="center"/>
          </w:tcPr>
          <w:p w14:paraId="31BEC0FA">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排放因子</w:t>
            </w:r>
          </w:p>
        </w:tc>
        <w:tc>
          <w:tcPr>
            <w:tcW w:w="1242" w:type="dxa"/>
            <w:vMerge w:val="restart"/>
            <w:vAlign w:val="center"/>
          </w:tcPr>
          <w:p w14:paraId="0070108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排放量（tCO</w:t>
            </w:r>
            <w:r>
              <w:rPr>
                <w:rFonts w:hint="eastAsia" w:ascii="仿宋_GB2312" w:hAnsi="仿宋_GB2312" w:eastAsia="仿宋_GB2312" w:cs="仿宋_GB2312"/>
                <w:b w:val="0"/>
                <w:bCs w:val="0"/>
                <w:sz w:val="24"/>
                <w:szCs w:val="24"/>
                <w:vertAlign w:val="subscript"/>
              </w:rPr>
              <w:t>2</w:t>
            </w:r>
            <w:r>
              <w:rPr>
                <w:rFonts w:hint="eastAsia" w:ascii="仿宋_GB2312" w:hAnsi="仿宋_GB2312" w:eastAsia="仿宋_GB2312" w:cs="仿宋_GB2312"/>
                <w:b w:val="0"/>
                <w:bCs w:val="0"/>
                <w:sz w:val="24"/>
                <w:szCs w:val="24"/>
              </w:rPr>
              <w:t>）</w:t>
            </w:r>
          </w:p>
        </w:tc>
        <w:tc>
          <w:tcPr>
            <w:tcW w:w="709" w:type="dxa"/>
            <w:vMerge w:val="restart"/>
            <w:vAlign w:val="center"/>
          </w:tcPr>
          <w:p w14:paraId="3433F396">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14:paraId="3D4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12F21C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02" w:type="dxa"/>
            <w:vAlign w:val="center"/>
          </w:tcPr>
          <w:p w14:paraId="59722A06">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排放源</w:t>
            </w:r>
          </w:p>
        </w:tc>
        <w:tc>
          <w:tcPr>
            <w:tcW w:w="887" w:type="dxa"/>
            <w:vAlign w:val="center"/>
          </w:tcPr>
          <w:p w14:paraId="5D5A339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设施/活动</w:t>
            </w:r>
          </w:p>
        </w:tc>
        <w:tc>
          <w:tcPr>
            <w:tcW w:w="792" w:type="dxa"/>
            <w:vAlign w:val="center"/>
          </w:tcPr>
          <w:p w14:paraId="6B56F7FE">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数据值</w:t>
            </w:r>
          </w:p>
        </w:tc>
        <w:tc>
          <w:tcPr>
            <w:tcW w:w="907" w:type="dxa"/>
            <w:vAlign w:val="center"/>
          </w:tcPr>
          <w:p w14:paraId="5746F64F">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数据单位</w:t>
            </w:r>
          </w:p>
        </w:tc>
        <w:tc>
          <w:tcPr>
            <w:tcW w:w="965" w:type="dxa"/>
            <w:vAlign w:val="center"/>
          </w:tcPr>
          <w:p w14:paraId="0CB7725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排放因子值</w:t>
            </w:r>
          </w:p>
        </w:tc>
        <w:tc>
          <w:tcPr>
            <w:tcW w:w="1207" w:type="dxa"/>
            <w:vAlign w:val="center"/>
          </w:tcPr>
          <w:p w14:paraId="1E005B7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排放因子单位</w:t>
            </w:r>
          </w:p>
        </w:tc>
        <w:tc>
          <w:tcPr>
            <w:tcW w:w="1242" w:type="dxa"/>
            <w:vMerge w:val="continue"/>
            <w:vAlign w:val="center"/>
          </w:tcPr>
          <w:p w14:paraId="79BAA8D2">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9" w:type="dxa"/>
            <w:vMerge w:val="continue"/>
            <w:vAlign w:val="center"/>
          </w:tcPr>
          <w:p w14:paraId="6AFCC303">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r>
      <w:tr w14:paraId="1778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3F63907">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2" w:type="dxa"/>
          </w:tcPr>
          <w:p w14:paraId="5694B99E">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887" w:type="dxa"/>
          </w:tcPr>
          <w:p w14:paraId="056009F9">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92" w:type="dxa"/>
          </w:tcPr>
          <w:p w14:paraId="2D038D44">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907" w:type="dxa"/>
          </w:tcPr>
          <w:p w14:paraId="4BCEB710">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965" w:type="dxa"/>
          </w:tcPr>
          <w:p w14:paraId="25BF1AA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1207" w:type="dxa"/>
          </w:tcPr>
          <w:p w14:paraId="6995F1F4">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1242" w:type="dxa"/>
          </w:tcPr>
          <w:p w14:paraId="06797499">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9" w:type="dxa"/>
          </w:tcPr>
          <w:p w14:paraId="5333B73A">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r>
      <w:tr w14:paraId="443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72C62CA">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2" w:type="dxa"/>
          </w:tcPr>
          <w:p w14:paraId="1FEA093A">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887" w:type="dxa"/>
          </w:tcPr>
          <w:p w14:paraId="4623224C">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92" w:type="dxa"/>
          </w:tcPr>
          <w:p w14:paraId="60AA2AA1">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907" w:type="dxa"/>
          </w:tcPr>
          <w:p w14:paraId="3A3B558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965" w:type="dxa"/>
          </w:tcPr>
          <w:p w14:paraId="66CD6E4B">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1207" w:type="dxa"/>
          </w:tcPr>
          <w:p w14:paraId="5FD7DA5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1242" w:type="dxa"/>
          </w:tcPr>
          <w:p w14:paraId="0409AB7D">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9" w:type="dxa"/>
          </w:tcPr>
          <w:p w14:paraId="47C30191">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r>
      <w:tr w14:paraId="5481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6" w:type="dxa"/>
            <w:gridSpan w:val="7"/>
            <w:vAlign w:val="center"/>
          </w:tcPr>
          <w:p w14:paraId="60337545">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碳排放总量</w:t>
            </w:r>
          </w:p>
        </w:tc>
        <w:tc>
          <w:tcPr>
            <w:tcW w:w="1242" w:type="dxa"/>
          </w:tcPr>
          <w:p w14:paraId="76B0C08E">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c>
          <w:tcPr>
            <w:tcW w:w="709" w:type="dxa"/>
          </w:tcPr>
          <w:p w14:paraId="5C788BB9">
            <w:pPr>
              <w:pStyle w:val="23"/>
              <w:keepNext w:val="0"/>
              <w:keepLines w:val="0"/>
              <w:pageBreakBefore w:val="0"/>
              <w:widowControl/>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仿宋_GB2312" w:hAnsi="仿宋_GB2312" w:eastAsia="仿宋_GB2312" w:cs="仿宋_GB2312"/>
                <w:sz w:val="24"/>
                <w:szCs w:val="24"/>
              </w:rPr>
            </w:pPr>
          </w:p>
        </w:tc>
      </w:tr>
    </w:tbl>
    <w:p w14:paraId="45CACAD0">
      <w:pPr>
        <w:ind w:firstLine="640"/>
        <w:rPr>
          <w:rFonts w:hint="eastAsia" w:ascii="黑体" w:hAnsi="黑体" w:eastAsia="黑体"/>
        </w:rPr>
      </w:pPr>
      <w:r>
        <w:rPr>
          <w:rFonts w:hint="eastAsia" w:ascii="黑体" w:hAnsi="黑体" w:eastAsia="黑体"/>
        </w:rPr>
        <w:t>5、</w:t>
      </w:r>
      <w:r>
        <w:rPr>
          <w:rFonts w:ascii="黑体" w:hAnsi="黑体" w:eastAsia="黑体"/>
        </w:rPr>
        <w:t>项目</w:t>
      </w:r>
      <w:r>
        <w:rPr>
          <w:rFonts w:hint="eastAsia" w:ascii="黑体" w:hAnsi="黑体" w:eastAsia="黑体"/>
        </w:rPr>
        <w:t>碳排放绩效水平</w:t>
      </w:r>
      <w:r>
        <w:rPr>
          <w:rFonts w:ascii="黑体" w:hAnsi="黑体" w:eastAsia="黑体"/>
        </w:rPr>
        <w:t>评价</w:t>
      </w:r>
    </w:p>
    <w:p w14:paraId="71C1AC3C">
      <w:pPr>
        <w:ind w:firstLine="640" w:firstLineChars="0"/>
        <w:rPr>
          <w:rFonts w:hint="eastAsia" w:ascii="楷体_GB2312" w:eastAsia="楷体_GB2312"/>
        </w:rPr>
      </w:pPr>
      <w:r>
        <w:rPr>
          <w:rFonts w:hint="eastAsia" w:ascii="楷体_GB2312" w:eastAsia="楷体_GB2312"/>
        </w:rPr>
        <w:t>5.1 碳排放绩效指标核算</w:t>
      </w:r>
    </w:p>
    <w:p w14:paraId="4CCCD14C">
      <w:pPr>
        <w:ind w:firstLine="640"/>
        <w:rPr>
          <w:rFonts w:hint="eastAsia"/>
        </w:rPr>
      </w:pPr>
      <w:r>
        <w:rPr>
          <w:rFonts w:hint="eastAsia" w:hAnsi="宋体" w:cs="宋体"/>
        </w:rPr>
        <w:t>应对项目单位（工业）产值碳排放、单位（工业）增加值碳排放、单位产品产量碳排放、单位能耗碳排放、单位建筑面积碳排放、单位投资额碳排放、单位能耗碳排放、单位面积碳排放、单位长度碳排放、单位吞吐量碳排放等绩效指标进行核算。</w:t>
      </w:r>
    </w:p>
    <w:p w14:paraId="4D8DA77F">
      <w:pPr>
        <w:ind w:firstLine="640" w:firstLineChars="0"/>
        <w:rPr>
          <w:rFonts w:hint="eastAsia" w:ascii="楷体_GB2312" w:eastAsia="楷体_GB2312"/>
        </w:rPr>
      </w:pPr>
      <w:r>
        <w:rPr>
          <w:rFonts w:hint="eastAsia" w:ascii="楷体_GB2312" w:eastAsia="楷体_GB2312"/>
        </w:rPr>
        <w:t>5.2 碳排放绩效水平评价</w:t>
      </w:r>
    </w:p>
    <w:p w14:paraId="15950EEF">
      <w:pPr>
        <w:ind w:firstLine="640"/>
        <w:rPr>
          <w:rFonts w:hint="eastAsia"/>
        </w:rPr>
      </w:pPr>
      <w:r>
        <w:rPr>
          <w:rFonts w:hint="eastAsia"/>
        </w:rPr>
        <w:t>应</w:t>
      </w:r>
      <w:r>
        <w:rPr>
          <w:rFonts w:hint="eastAsia"/>
          <w:lang w:val="en-US" w:eastAsia="zh-CN"/>
        </w:rPr>
        <w:t>根据国家、地方或相关行业碳排放标准及规范对</w:t>
      </w:r>
      <w:r>
        <w:t>项目的碳排放</w:t>
      </w:r>
      <w:r>
        <w:rPr>
          <w:rFonts w:hint="eastAsia"/>
        </w:rPr>
        <w:t>绩效</w:t>
      </w:r>
      <w:r>
        <w:t>水平进行评价</w:t>
      </w:r>
      <w:r>
        <w:rPr>
          <w:rFonts w:hint="eastAsia"/>
          <w:lang w:eastAsia="zh-CN"/>
        </w:rPr>
        <w:t>；</w:t>
      </w:r>
      <w:r>
        <w:t>无相关标准</w:t>
      </w:r>
      <w:r>
        <w:rPr>
          <w:rFonts w:hint="eastAsia"/>
          <w:lang w:val="en-US" w:eastAsia="zh-CN"/>
        </w:rPr>
        <w:t>对标</w:t>
      </w:r>
      <w:r>
        <w:t>时，</w:t>
      </w:r>
      <w:r>
        <w:rPr>
          <w:rFonts w:hint="eastAsia"/>
          <w:lang w:val="en-US" w:eastAsia="zh-CN"/>
        </w:rPr>
        <w:t>可与</w:t>
      </w:r>
      <w:r>
        <w:t>同类项目进行对比进行分析评价。</w:t>
      </w:r>
    </w:p>
    <w:p w14:paraId="607FCC83">
      <w:pPr>
        <w:ind w:firstLine="640"/>
        <w:rPr>
          <w:rFonts w:hint="eastAsia"/>
        </w:rPr>
      </w:pPr>
      <w:r>
        <w:rPr>
          <w:rFonts w:hint="eastAsia"/>
        </w:rPr>
        <w:t>改建、扩建和技术改造项目在对现有项目进行现状评价基础上，应对项目实施前后的碳排放强度进行纵向评价对比，若项目实施后各项强度指标高于现有项目，应对指标偏高的原因进行科学合理说明。</w:t>
      </w:r>
    </w:p>
    <w:p w14:paraId="193F92BF">
      <w:pPr>
        <w:ind w:firstLine="640"/>
        <w:rPr>
          <w:rFonts w:hint="eastAsia"/>
        </w:rPr>
      </w:pPr>
      <w:r>
        <w:rPr>
          <w:rFonts w:hint="eastAsia"/>
        </w:rPr>
        <w:t>项目还应根据深圳市碳</w:t>
      </w:r>
      <w:r>
        <w:rPr>
          <w:rFonts w:hint="eastAsia"/>
          <w:lang w:val="en-US" w:eastAsia="zh-CN"/>
        </w:rPr>
        <w:t>排放</w:t>
      </w:r>
      <w:r>
        <w:rPr>
          <w:rFonts w:hint="eastAsia"/>
        </w:rPr>
        <w:t>总量及强度目标值等公开发布数据，</w:t>
      </w:r>
      <w:r>
        <w:rPr>
          <w:rFonts w:hint="eastAsia"/>
          <w:lang w:val="en-US" w:eastAsia="zh-CN"/>
        </w:rPr>
        <w:t>评价</w:t>
      </w:r>
      <w:r>
        <w:rPr>
          <w:rFonts w:hint="eastAsia"/>
        </w:rPr>
        <w:t>项目实施前后对深圳市碳排放总量及强度的影响程度。</w:t>
      </w:r>
    </w:p>
    <w:p w14:paraId="7B83CE5A">
      <w:pPr>
        <w:ind w:firstLine="640" w:firstLineChars="0"/>
        <w:rPr>
          <w:rFonts w:hint="eastAsia" w:ascii="黑体" w:hAnsi="黑体" w:eastAsia="黑体"/>
        </w:rPr>
      </w:pPr>
      <w:r>
        <w:rPr>
          <w:rFonts w:hint="eastAsia" w:ascii="黑体" w:hAnsi="黑体" w:eastAsia="黑体"/>
        </w:rPr>
        <w:t>6、</w:t>
      </w:r>
      <w:r>
        <w:rPr>
          <w:rFonts w:ascii="黑体" w:hAnsi="黑体" w:eastAsia="黑体"/>
        </w:rPr>
        <w:t>碳排放评价结论</w:t>
      </w:r>
    </w:p>
    <w:p w14:paraId="6F8BC0DB">
      <w:pPr>
        <w:ind w:firstLine="640"/>
        <w:rPr>
          <w:rFonts w:hint="eastAsia"/>
        </w:rPr>
      </w:pPr>
      <w:r>
        <w:rPr>
          <w:rFonts w:hint="eastAsia"/>
        </w:rPr>
        <w:t>评价结论</w:t>
      </w:r>
      <w:r>
        <w:t>应包括项目是否符合碳排放相关政策、标准、规范等要求，</w:t>
      </w:r>
      <w:r>
        <w:rPr>
          <w:rFonts w:hint="eastAsia"/>
          <w:lang w:val="en-US" w:eastAsia="zh-CN"/>
        </w:rPr>
        <w:t>节能</w:t>
      </w:r>
      <w:r>
        <w:t>降碳</w:t>
      </w:r>
      <w:r>
        <w:rPr>
          <w:rFonts w:hint="eastAsia"/>
        </w:rPr>
        <w:t>技术</w:t>
      </w:r>
      <w:r>
        <w:t>措施可行性及</w:t>
      </w:r>
      <w:r>
        <w:rPr>
          <w:rFonts w:hint="eastAsia"/>
          <w:lang w:val="en-US" w:eastAsia="zh-CN"/>
        </w:rPr>
        <w:t>节能</w:t>
      </w:r>
      <w:r>
        <w:t>降碳效果、</w:t>
      </w:r>
      <w:r>
        <w:rPr>
          <w:rFonts w:hint="eastAsia"/>
          <w:lang w:val="en-US" w:eastAsia="zh-CN"/>
        </w:rPr>
        <w:t>节能降碳</w:t>
      </w:r>
      <w:r>
        <w:t>管理措施、项目碳排放</w:t>
      </w:r>
      <w:r>
        <w:rPr>
          <w:rFonts w:hint="eastAsia"/>
          <w:lang w:val="en-US" w:eastAsia="zh-CN"/>
        </w:rPr>
        <w:t>分析</w:t>
      </w:r>
      <w:r>
        <w:t>情况</w:t>
      </w:r>
      <w:r>
        <w:rPr>
          <w:rFonts w:hint="eastAsia"/>
        </w:rPr>
        <w:t>、</w:t>
      </w:r>
      <w:r>
        <w:rPr>
          <w:rFonts w:hint="eastAsia"/>
          <w:lang w:val="en-US" w:eastAsia="zh-CN"/>
        </w:rPr>
        <w:t>项目</w:t>
      </w:r>
      <w:r>
        <w:rPr>
          <w:rFonts w:hint="eastAsia"/>
        </w:rPr>
        <w:t>碳排放绩效水平</w:t>
      </w:r>
      <w:r>
        <w:t>等。</w:t>
      </w:r>
    </w:p>
    <w:bookmarkEnd w:id="2"/>
    <w:p w14:paraId="74919335">
      <w:pPr>
        <w:ind w:firstLine="64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1"/>
        <w:szCs w:val="21"/>
      </w:rPr>
    </w:sdtEndPr>
    <w:sdtContent>
      <w:p w14:paraId="1436D879">
        <w:pPr>
          <w:pStyle w:val="7"/>
          <w:ind w:firstLine="360"/>
          <w:jc w:val="center"/>
          <w:rPr>
            <w:rFonts w:hint="eastAsia"/>
            <w:sz w:val="21"/>
            <w:szCs w:val="21"/>
          </w:rPr>
        </w:pPr>
        <w:r>
          <w:rPr>
            <w:sz w:val="21"/>
            <w:szCs w:val="21"/>
          </w:rPr>
          <w:fldChar w:fldCharType="begin"/>
        </w:r>
        <w:r>
          <w:rPr>
            <w:rFonts w:hint="eastAsia"/>
            <w:sz w:val="21"/>
            <w:szCs w:val="21"/>
          </w:rPr>
          <w:instrText xml:space="preserve">PAGE   \* MERGEFORMAT</w:instrText>
        </w:r>
        <w:r>
          <w:rPr>
            <w:sz w:val="21"/>
            <w:szCs w:val="21"/>
          </w:rPr>
          <w:fldChar w:fldCharType="separate"/>
        </w:r>
        <w:r>
          <w:rPr>
            <w:rFonts w:hint="eastAsia"/>
            <w:sz w:val="21"/>
            <w:szCs w:val="21"/>
            <w:lang w:val="zh-CN"/>
          </w:rPr>
          <w:t>2</w:t>
        </w:r>
        <w:r>
          <w:rPr>
            <w:sz w:val="21"/>
            <w:szCs w:val="21"/>
          </w:rPr>
          <w:fldChar w:fldCharType="end"/>
        </w:r>
      </w:p>
    </w:sdtContent>
  </w:sdt>
  <w:p w14:paraId="3305637F">
    <w:pPr>
      <w:pStyle w:val="7"/>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8A08">
    <w:pPr>
      <w:pStyle w:val="8"/>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pStyle w:val="33"/>
      <w:suff w:val="space"/>
      <w:lvlText w:val="%1"/>
      <w:lvlJc w:val="left"/>
      <w:pPr>
        <w:ind w:left="425" w:hanging="425"/>
      </w:pPr>
      <w:rPr>
        <w:rFonts w:hint="eastAsia"/>
      </w:rPr>
    </w:lvl>
    <w:lvl w:ilvl="1" w:tentative="0">
      <w:start w:val="1"/>
      <w:numFmt w:val="decimal"/>
      <w:pStyle w:val="32"/>
      <w:suff w:val="space"/>
      <w:lvlText w:val="表%1.%2"/>
      <w:lvlJc w:val="center"/>
      <w:pPr>
        <w:ind w:left="340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pStyle w:val="31"/>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30"/>
      <w:suff w:val="nothing"/>
      <w:lvlText w:val="%1%2.%3　"/>
      <w:lvlJc w:val="left"/>
      <w:pPr>
        <w:ind w:left="2268"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710" w:firstLine="0"/>
      </w:pPr>
      <w:rPr>
        <w:rFonts w:hint="eastAsia" w:ascii="黑体" w:eastAsia="黑体"/>
        <w:b w:val="0"/>
        <w:i w:val="0"/>
        <w:sz w:val="21"/>
      </w:rPr>
    </w:lvl>
    <w:lvl w:ilvl="4" w:tentative="0">
      <w:start w:val="1"/>
      <w:numFmt w:val="decimal"/>
      <w:pStyle w:val="26"/>
      <w:suff w:val="nothing"/>
      <w:lvlText w:val="%1%2.%3.%4.%5　"/>
      <w:lvlJc w:val="left"/>
      <w:pPr>
        <w:ind w:left="0" w:firstLine="0"/>
      </w:pPr>
      <w:rPr>
        <w:rFonts w:hint="eastAsia" w:ascii="黑体" w:eastAsia="黑体"/>
        <w:b w:val="0"/>
        <w:i w:val="0"/>
        <w:sz w:val="21"/>
      </w:rPr>
    </w:lvl>
    <w:lvl w:ilvl="5" w:tentative="0">
      <w:start w:val="1"/>
      <w:numFmt w:val="decimal"/>
      <w:pStyle w:val="27"/>
      <w:suff w:val="nothing"/>
      <w:lvlText w:val="%1%2.%3.%4.%5.%6　"/>
      <w:lvlJc w:val="left"/>
      <w:pPr>
        <w:ind w:left="0" w:firstLine="0"/>
      </w:pPr>
      <w:rPr>
        <w:rFonts w:hint="eastAsia" w:ascii="黑体" w:eastAsia="黑体"/>
        <w:b w:val="0"/>
        <w:i w:val="0"/>
        <w:sz w:val="21"/>
      </w:rPr>
    </w:lvl>
    <w:lvl w:ilvl="6" w:tentative="0">
      <w:start w:val="1"/>
      <w:numFmt w:val="decimal"/>
      <w:pStyle w:val="2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200393"/>
    <w:rsid w:val="000073C9"/>
    <w:rsid w:val="00011C62"/>
    <w:rsid w:val="000409DE"/>
    <w:rsid w:val="0004451D"/>
    <w:rsid w:val="000617FC"/>
    <w:rsid w:val="0007097D"/>
    <w:rsid w:val="0008613C"/>
    <w:rsid w:val="00092ACC"/>
    <w:rsid w:val="00096F38"/>
    <w:rsid w:val="000A110C"/>
    <w:rsid w:val="000A2390"/>
    <w:rsid w:val="000B7FA2"/>
    <w:rsid w:val="000C593C"/>
    <w:rsid w:val="000D01B3"/>
    <w:rsid w:val="000D40E8"/>
    <w:rsid w:val="000E4C19"/>
    <w:rsid w:val="000E7453"/>
    <w:rsid w:val="000F017B"/>
    <w:rsid w:val="00102741"/>
    <w:rsid w:val="001039FC"/>
    <w:rsid w:val="001055C7"/>
    <w:rsid w:val="00111F95"/>
    <w:rsid w:val="00112054"/>
    <w:rsid w:val="0012452B"/>
    <w:rsid w:val="0012552E"/>
    <w:rsid w:val="00131751"/>
    <w:rsid w:val="001400B5"/>
    <w:rsid w:val="00142E26"/>
    <w:rsid w:val="00144D4F"/>
    <w:rsid w:val="0014760F"/>
    <w:rsid w:val="00153A61"/>
    <w:rsid w:val="00154AD3"/>
    <w:rsid w:val="00167A35"/>
    <w:rsid w:val="00173926"/>
    <w:rsid w:val="001751EF"/>
    <w:rsid w:val="00191EAF"/>
    <w:rsid w:val="001946C1"/>
    <w:rsid w:val="00194F28"/>
    <w:rsid w:val="00195D3B"/>
    <w:rsid w:val="00196BCC"/>
    <w:rsid w:val="001A1E06"/>
    <w:rsid w:val="001A2551"/>
    <w:rsid w:val="001A47B8"/>
    <w:rsid w:val="001B3391"/>
    <w:rsid w:val="001B44B7"/>
    <w:rsid w:val="001B74C0"/>
    <w:rsid w:val="001C1913"/>
    <w:rsid w:val="001C77BD"/>
    <w:rsid w:val="001C7CBB"/>
    <w:rsid w:val="001D4216"/>
    <w:rsid w:val="001D5840"/>
    <w:rsid w:val="001E36D5"/>
    <w:rsid w:val="001E6230"/>
    <w:rsid w:val="001F2996"/>
    <w:rsid w:val="001F30EA"/>
    <w:rsid w:val="001F3DD9"/>
    <w:rsid w:val="00200393"/>
    <w:rsid w:val="00203465"/>
    <w:rsid w:val="00210B39"/>
    <w:rsid w:val="00213A36"/>
    <w:rsid w:val="00230AA5"/>
    <w:rsid w:val="00232954"/>
    <w:rsid w:val="0024342A"/>
    <w:rsid w:val="00246C3D"/>
    <w:rsid w:val="00250259"/>
    <w:rsid w:val="00250874"/>
    <w:rsid w:val="00251535"/>
    <w:rsid w:val="002533F0"/>
    <w:rsid w:val="00255E94"/>
    <w:rsid w:val="00255EF1"/>
    <w:rsid w:val="00256B69"/>
    <w:rsid w:val="002634DB"/>
    <w:rsid w:val="0026560D"/>
    <w:rsid w:val="00267A95"/>
    <w:rsid w:val="00270CC0"/>
    <w:rsid w:val="00292588"/>
    <w:rsid w:val="002A7C6C"/>
    <w:rsid w:val="002B2FCF"/>
    <w:rsid w:val="002B39B8"/>
    <w:rsid w:val="002C698E"/>
    <w:rsid w:val="002D105D"/>
    <w:rsid w:val="002E2AC9"/>
    <w:rsid w:val="002E34B9"/>
    <w:rsid w:val="003014D5"/>
    <w:rsid w:val="00321248"/>
    <w:rsid w:val="003369AF"/>
    <w:rsid w:val="00356A39"/>
    <w:rsid w:val="00364B9F"/>
    <w:rsid w:val="00367E10"/>
    <w:rsid w:val="00371406"/>
    <w:rsid w:val="003819B7"/>
    <w:rsid w:val="00390EFB"/>
    <w:rsid w:val="003A6891"/>
    <w:rsid w:val="003A748E"/>
    <w:rsid w:val="003B1A72"/>
    <w:rsid w:val="003C3D4A"/>
    <w:rsid w:val="003E7E2D"/>
    <w:rsid w:val="00401F46"/>
    <w:rsid w:val="00411B3A"/>
    <w:rsid w:val="0042309C"/>
    <w:rsid w:val="00423E24"/>
    <w:rsid w:val="00426BE6"/>
    <w:rsid w:val="00442DE5"/>
    <w:rsid w:val="004448FA"/>
    <w:rsid w:val="00446E6C"/>
    <w:rsid w:val="00460E8C"/>
    <w:rsid w:val="004972A0"/>
    <w:rsid w:val="004A3D37"/>
    <w:rsid w:val="004A76E4"/>
    <w:rsid w:val="004B51C8"/>
    <w:rsid w:val="004B7768"/>
    <w:rsid w:val="004C19D9"/>
    <w:rsid w:val="004C345F"/>
    <w:rsid w:val="004C4CDD"/>
    <w:rsid w:val="004D6E78"/>
    <w:rsid w:val="004E4AC9"/>
    <w:rsid w:val="004E746A"/>
    <w:rsid w:val="004F2508"/>
    <w:rsid w:val="004F506B"/>
    <w:rsid w:val="005068E4"/>
    <w:rsid w:val="00511746"/>
    <w:rsid w:val="005119D3"/>
    <w:rsid w:val="0051327F"/>
    <w:rsid w:val="005159FA"/>
    <w:rsid w:val="00526132"/>
    <w:rsid w:val="00532E62"/>
    <w:rsid w:val="005379C8"/>
    <w:rsid w:val="00541333"/>
    <w:rsid w:val="0055238A"/>
    <w:rsid w:val="00570EE0"/>
    <w:rsid w:val="00583D1E"/>
    <w:rsid w:val="00587C07"/>
    <w:rsid w:val="005A2E3D"/>
    <w:rsid w:val="005A3304"/>
    <w:rsid w:val="005B5AD3"/>
    <w:rsid w:val="0060096B"/>
    <w:rsid w:val="00611DBD"/>
    <w:rsid w:val="00614E90"/>
    <w:rsid w:val="0061578B"/>
    <w:rsid w:val="00616580"/>
    <w:rsid w:val="006232C7"/>
    <w:rsid w:val="0062521A"/>
    <w:rsid w:val="006271C8"/>
    <w:rsid w:val="006356D3"/>
    <w:rsid w:val="00635EE2"/>
    <w:rsid w:val="00636E74"/>
    <w:rsid w:val="006439FD"/>
    <w:rsid w:val="00650EFA"/>
    <w:rsid w:val="006510A8"/>
    <w:rsid w:val="00652240"/>
    <w:rsid w:val="006549CC"/>
    <w:rsid w:val="0065504F"/>
    <w:rsid w:val="00670998"/>
    <w:rsid w:val="00674FDC"/>
    <w:rsid w:val="00681B18"/>
    <w:rsid w:val="00686091"/>
    <w:rsid w:val="0069385B"/>
    <w:rsid w:val="006A29EC"/>
    <w:rsid w:val="006B1EA9"/>
    <w:rsid w:val="006B5732"/>
    <w:rsid w:val="006C0233"/>
    <w:rsid w:val="006D5213"/>
    <w:rsid w:val="006E10AF"/>
    <w:rsid w:val="006E116D"/>
    <w:rsid w:val="006E510D"/>
    <w:rsid w:val="006F2EF5"/>
    <w:rsid w:val="006F42D1"/>
    <w:rsid w:val="00705159"/>
    <w:rsid w:val="0070640C"/>
    <w:rsid w:val="00710B4B"/>
    <w:rsid w:val="00714B31"/>
    <w:rsid w:val="00721353"/>
    <w:rsid w:val="00725296"/>
    <w:rsid w:val="00737606"/>
    <w:rsid w:val="00742FA1"/>
    <w:rsid w:val="007447F9"/>
    <w:rsid w:val="00745A2E"/>
    <w:rsid w:val="00776D17"/>
    <w:rsid w:val="00782A58"/>
    <w:rsid w:val="0079375D"/>
    <w:rsid w:val="00793BD3"/>
    <w:rsid w:val="00795BFE"/>
    <w:rsid w:val="007C55C0"/>
    <w:rsid w:val="007E3E57"/>
    <w:rsid w:val="007E4DCD"/>
    <w:rsid w:val="007F027B"/>
    <w:rsid w:val="007F3900"/>
    <w:rsid w:val="007F3F26"/>
    <w:rsid w:val="007F7410"/>
    <w:rsid w:val="00812C5A"/>
    <w:rsid w:val="00815FDD"/>
    <w:rsid w:val="00820874"/>
    <w:rsid w:val="00823A4C"/>
    <w:rsid w:val="00832C5E"/>
    <w:rsid w:val="00841032"/>
    <w:rsid w:val="00847AEE"/>
    <w:rsid w:val="00853376"/>
    <w:rsid w:val="00853ED0"/>
    <w:rsid w:val="00866376"/>
    <w:rsid w:val="00870DDA"/>
    <w:rsid w:val="008728EC"/>
    <w:rsid w:val="008748AF"/>
    <w:rsid w:val="00882F40"/>
    <w:rsid w:val="008834A3"/>
    <w:rsid w:val="00887EC4"/>
    <w:rsid w:val="008B0DF9"/>
    <w:rsid w:val="008B4E1E"/>
    <w:rsid w:val="008C4D27"/>
    <w:rsid w:val="008C51FF"/>
    <w:rsid w:val="008E03FC"/>
    <w:rsid w:val="008E61FE"/>
    <w:rsid w:val="008E641A"/>
    <w:rsid w:val="008F6779"/>
    <w:rsid w:val="00903283"/>
    <w:rsid w:val="00903DB3"/>
    <w:rsid w:val="00915D5C"/>
    <w:rsid w:val="00916ED9"/>
    <w:rsid w:val="00921460"/>
    <w:rsid w:val="00931DFD"/>
    <w:rsid w:val="009435C6"/>
    <w:rsid w:val="00946FBD"/>
    <w:rsid w:val="00951DF1"/>
    <w:rsid w:val="00964848"/>
    <w:rsid w:val="00964F7D"/>
    <w:rsid w:val="00970F11"/>
    <w:rsid w:val="0097102E"/>
    <w:rsid w:val="00973107"/>
    <w:rsid w:val="00973EF1"/>
    <w:rsid w:val="009A75F6"/>
    <w:rsid w:val="009B2A31"/>
    <w:rsid w:val="009B6A44"/>
    <w:rsid w:val="009C09E6"/>
    <w:rsid w:val="009C2EED"/>
    <w:rsid w:val="009C4C9F"/>
    <w:rsid w:val="009C54E3"/>
    <w:rsid w:val="009D5D39"/>
    <w:rsid w:val="009E1F07"/>
    <w:rsid w:val="009F07B9"/>
    <w:rsid w:val="00A0552B"/>
    <w:rsid w:val="00A05CFA"/>
    <w:rsid w:val="00A06F31"/>
    <w:rsid w:val="00A143B3"/>
    <w:rsid w:val="00A30914"/>
    <w:rsid w:val="00A34910"/>
    <w:rsid w:val="00A361D6"/>
    <w:rsid w:val="00A370F1"/>
    <w:rsid w:val="00A54D37"/>
    <w:rsid w:val="00A56236"/>
    <w:rsid w:val="00A63DB7"/>
    <w:rsid w:val="00A663C7"/>
    <w:rsid w:val="00A72DEA"/>
    <w:rsid w:val="00A77688"/>
    <w:rsid w:val="00A87B28"/>
    <w:rsid w:val="00A97759"/>
    <w:rsid w:val="00AA0528"/>
    <w:rsid w:val="00AA465F"/>
    <w:rsid w:val="00AB0022"/>
    <w:rsid w:val="00AB0F61"/>
    <w:rsid w:val="00AC3EDA"/>
    <w:rsid w:val="00AD2490"/>
    <w:rsid w:val="00AD4679"/>
    <w:rsid w:val="00AD4B64"/>
    <w:rsid w:val="00AF09AD"/>
    <w:rsid w:val="00B00426"/>
    <w:rsid w:val="00B02EA3"/>
    <w:rsid w:val="00B07B6F"/>
    <w:rsid w:val="00B15573"/>
    <w:rsid w:val="00B16F30"/>
    <w:rsid w:val="00B22E83"/>
    <w:rsid w:val="00B303F5"/>
    <w:rsid w:val="00B31DF4"/>
    <w:rsid w:val="00B3463F"/>
    <w:rsid w:val="00B35238"/>
    <w:rsid w:val="00B41CA4"/>
    <w:rsid w:val="00B42A20"/>
    <w:rsid w:val="00B43401"/>
    <w:rsid w:val="00B73D74"/>
    <w:rsid w:val="00B76004"/>
    <w:rsid w:val="00B917C6"/>
    <w:rsid w:val="00B95B3B"/>
    <w:rsid w:val="00BA4F3F"/>
    <w:rsid w:val="00BB6F7F"/>
    <w:rsid w:val="00BB799D"/>
    <w:rsid w:val="00BC5973"/>
    <w:rsid w:val="00BD1ECC"/>
    <w:rsid w:val="00BD2A1A"/>
    <w:rsid w:val="00BD3937"/>
    <w:rsid w:val="00BE1934"/>
    <w:rsid w:val="00BE5723"/>
    <w:rsid w:val="00BF2E42"/>
    <w:rsid w:val="00C01E25"/>
    <w:rsid w:val="00C0333A"/>
    <w:rsid w:val="00C065BF"/>
    <w:rsid w:val="00C25C1B"/>
    <w:rsid w:val="00C32EF4"/>
    <w:rsid w:val="00C33FEE"/>
    <w:rsid w:val="00C4195D"/>
    <w:rsid w:val="00C4708A"/>
    <w:rsid w:val="00C51620"/>
    <w:rsid w:val="00C52C0E"/>
    <w:rsid w:val="00C54935"/>
    <w:rsid w:val="00C64037"/>
    <w:rsid w:val="00C641AB"/>
    <w:rsid w:val="00C647DC"/>
    <w:rsid w:val="00C65E4D"/>
    <w:rsid w:val="00C8290E"/>
    <w:rsid w:val="00C86833"/>
    <w:rsid w:val="00CA1EE9"/>
    <w:rsid w:val="00CA2ADD"/>
    <w:rsid w:val="00CB3F13"/>
    <w:rsid w:val="00CC69E4"/>
    <w:rsid w:val="00CE571B"/>
    <w:rsid w:val="00CF7DC4"/>
    <w:rsid w:val="00D15712"/>
    <w:rsid w:val="00D160FD"/>
    <w:rsid w:val="00D22D67"/>
    <w:rsid w:val="00D30020"/>
    <w:rsid w:val="00D315A6"/>
    <w:rsid w:val="00D344F6"/>
    <w:rsid w:val="00D54386"/>
    <w:rsid w:val="00D5490B"/>
    <w:rsid w:val="00D54D6B"/>
    <w:rsid w:val="00D643F0"/>
    <w:rsid w:val="00D64AFB"/>
    <w:rsid w:val="00D67C69"/>
    <w:rsid w:val="00D7629C"/>
    <w:rsid w:val="00D7642F"/>
    <w:rsid w:val="00D823A0"/>
    <w:rsid w:val="00D841B2"/>
    <w:rsid w:val="00DA512C"/>
    <w:rsid w:val="00DA5D7F"/>
    <w:rsid w:val="00DA60EB"/>
    <w:rsid w:val="00DB3669"/>
    <w:rsid w:val="00DC01AB"/>
    <w:rsid w:val="00DC12B6"/>
    <w:rsid w:val="00DC3CEE"/>
    <w:rsid w:val="00DC7F2F"/>
    <w:rsid w:val="00DE1933"/>
    <w:rsid w:val="00DE5018"/>
    <w:rsid w:val="00DE72AC"/>
    <w:rsid w:val="00DF02B1"/>
    <w:rsid w:val="00E17B65"/>
    <w:rsid w:val="00E3171A"/>
    <w:rsid w:val="00E44843"/>
    <w:rsid w:val="00E5525E"/>
    <w:rsid w:val="00E60466"/>
    <w:rsid w:val="00E6431E"/>
    <w:rsid w:val="00E71C47"/>
    <w:rsid w:val="00E72D3A"/>
    <w:rsid w:val="00E763B6"/>
    <w:rsid w:val="00E76725"/>
    <w:rsid w:val="00E84288"/>
    <w:rsid w:val="00EA0181"/>
    <w:rsid w:val="00EA5182"/>
    <w:rsid w:val="00EA6DC1"/>
    <w:rsid w:val="00EB3DDA"/>
    <w:rsid w:val="00EB3F04"/>
    <w:rsid w:val="00EB565C"/>
    <w:rsid w:val="00EC5BE1"/>
    <w:rsid w:val="00ED56CB"/>
    <w:rsid w:val="00EF65C2"/>
    <w:rsid w:val="00F02F6C"/>
    <w:rsid w:val="00F233C4"/>
    <w:rsid w:val="00F23477"/>
    <w:rsid w:val="00F30CD6"/>
    <w:rsid w:val="00F31EC9"/>
    <w:rsid w:val="00F420B0"/>
    <w:rsid w:val="00F540AB"/>
    <w:rsid w:val="00F56720"/>
    <w:rsid w:val="00F61E24"/>
    <w:rsid w:val="00F831CC"/>
    <w:rsid w:val="00F87831"/>
    <w:rsid w:val="00F87D94"/>
    <w:rsid w:val="00F90881"/>
    <w:rsid w:val="00F91E63"/>
    <w:rsid w:val="00FA34DD"/>
    <w:rsid w:val="00FA7BDB"/>
    <w:rsid w:val="00FA7D4E"/>
    <w:rsid w:val="00FB1A82"/>
    <w:rsid w:val="00FB3A97"/>
    <w:rsid w:val="00FB70D0"/>
    <w:rsid w:val="00FC2129"/>
    <w:rsid w:val="00FC74B0"/>
    <w:rsid w:val="00FD6F23"/>
    <w:rsid w:val="00FE0602"/>
    <w:rsid w:val="00FE161A"/>
    <w:rsid w:val="00FF471D"/>
    <w:rsid w:val="00FF4D0E"/>
    <w:rsid w:val="13E97709"/>
    <w:rsid w:val="13EB74E0"/>
    <w:rsid w:val="160727F1"/>
    <w:rsid w:val="19F21A22"/>
    <w:rsid w:val="1A1A0A11"/>
    <w:rsid w:val="1F00507E"/>
    <w:rsid w:val="221A7C32"/>
    <w:rsid w:val="267579CF"/>
    <w:rsid w:val="27C46B92"/>
    <w:rsid w:val="37ED2EA6"/>
    <w:rsid w:val="38137439"/>
    <w:rsid w:val="3A9A6882"/>
    <w:rsid w:val="3AEB56B4"/>
    <w:rsid w:val="3CFA11DB"/>
    <w:rsid w:val="3FF77E40"/>
    <w:rsid w:val="43B85ACC"/>
    <w:rsid w:val="45FC0CDF"/>
    <w:rsid w:val="4CEF245A"/>
    <w:rsid w:val="4D3D2DE3"/>
    <w:rsid w:val="4E501130"/>
    <w:rsid w:val="4F543F3A"/>
    <w:rsid w:val="4FED707C"/>
    <w:rsid w:val="56FB3E80"/>
    <w:rsid w:val="585FE934"/>
    <w:rsid w:val="5DFF6D9F"/>
    <w:rsid w:val="669B4A5E"/>
    <w:rsid w:val="686FFD32"/>
    <w:rsid w:val="694D7939"/>
    <w:rsid w:val="6A5E2EFC"/>
    <w:rsid w:val="6FEFCFB8"/>
    <w:rsid w:val="71CC7818"/>
    <w:rsid w:val="75FFF5EA"/>
    <w:rsid w:val="7AA2431E"/>
    <w:rsid w:val="7AC8740F"/>
    <w:rsid w:val="7AF7F438"/>
    <w:rsid w:val="7D798136"/>
    <w:rsid w:val="7FBBEE2F"/>
    <w:rsid w:val="7FFD534C"/>
    <w:rsid w:val="87E66446"/>
    <w:rsid w:val="9FBCAEA9"/>
    <w:rsid w:val="BBB9499A"/>
    <w:rsid w:val="BDFEED9C"/>
    <w:rsid w:val="DEB9A08A"/>
    <w:rsid w:val="EB954965"/>
    <w:rsid w:val="ECDFC79F"/>
    <w:rsid w:val="EF77523B"/>
    <w:rsid w:val="EFF36C4D"/>
    <w:rsid w:val="FBFDFC8B"/>
    <w:rsid w:val="FEF72739"/>
    <w:rsid w:val="FF6E03D5"/>
    <w:rsid w:val="FF836389"/>
    <w:rsid w:val="FFEF3756"/>
    <w:rsid w:val="FFFB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20"/>
    <w:qFormat/>
    <w:uiPriority w:val="9"/>
    <w:pPr>
      <w:keepNext/>
      <w:keepLines/>
      <w:outlineLvl w:val="0"/>
    </w:pPr>
    <w:rPr>
      <w:rFonts w:ascii="黑体" w:hAnsi="黑体" w:eastAsia="黑体"/>
      <w:bCs/>
      <w:kern w:val="44"/>
      <w:szCs w:val="44"/>
    </w:rPr>
  </w:style>
  <w:style w:type="paragraph" w:styleId="3">
    <w:name w:val="heading 2"/>
    <w:basedOn w:val="1"/>
    <w:next w:val="1"/>
    <w:link w:val="15"/>
    <w:unhideWhenUsed/>
    <w:qFormat/>
    <w:uiPriority w:val="9"/>
    <w:pPr>
      <w:adjustRightInd w:val="0"/>
      <w:snapToGrid w:val="0"/>
      <w:ind w:firstLine="640"/>
      <w:outlineLvl w:val="1"/>
    </w:pPr>
    <w:rPr>
      <w:rFonts w:eastAsia="楷体_GB2312" w:cstheme="majorBidi"/>
      <w:b/>
      <w:szCs w:val="32"/>
    </w:rPr>
  </w:style>
  <w:style w:type="paragraph" w:styleId="4">
    <w:name w:val="heading 3"/>
    <w:basedOn w:val="1"/>
    <w:next w:val="1"/>
    <w:link w:val="16"/>
    <w:unhideWhenUsed/>
    <w:qFormat/>
    <w:uiPriority w:val="9"/>
    <w:pPr>
      <w:keepNext/>
      <w:keepLines/>
      <w:adjustRightInd w:val="0"/>
      <w:snapToGrid w:val="0"/>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keepNext/>
      <w:spacing w:line="240" w:lineRule="auto"/>
      <w:ind w:firstLine="0" w:firstLineChars="0"/>
      <w:jc w:val="center"/>
    </w:pPr>
    <w:rPr>
      <w:rFonts w:ascii="黑体" w:hAnsi="黑体" w:eastAsia="黑体" w:cstheme="majorBidi"/>
      <w:sz w:val="28"/>
      <w:szCs w:val="20"/>
    </w:rPr>
  </w:style>
  <w:style w:type="paragraph" w:styleId="6">
    <w:name w:val="annotation text"/>
    <w:basedOn w:val="1"/>
    <w:link w:val="35"/>
    <w:unhideWhenUsed/>
    <w:qFormat/>
    <w:uiPriority w:val="99"/>
    <w:pPr>
      <w:jc w:val="left"/>
    </w:p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tabs>
        <w:tab w:val="center" w:pos="4153"/>
        <w:tab w:val="right" w:pos="8306"/>
      </w:tabs>
      <w:snapToGrid w:val="0"/>
      <w:spacing w:line="240" w:lineRule="atLeast"/>
      <w:jc w:val="center"/>
    </w:pPr>
    <w:rPr>
      <w:sz w:val="18"/>
      <w:szCs w:val="18"/>
    </w:rPr>
  </w:style>
  <w:style w:type="paragraph" w:styleId="9">
    <w:name w:val="Title"/>
    <w:basedOn w:val="1"/>
    <w:next w:val="1"/>
    <w:link w:val="18"/>
    <w:qFormat/>
    <w:uiPriority w:val="10"/>
    <w:pPr>
      <w:ind w:firstLine="0" w:firstLineChars="0"/>
      <w:jc w:val="center"/>
      <w:outlineLvl w:val="0"/>
    </w:pPr>
    <w:rPr>
      <w:rFonts w:ascii="方正小标宋简体" w:hAnsi="方正小标宋简体" w:eastAsia="方正小标宋简体" w:cstheme="majorBidi"/>
      <w:b/>
      <w:bCs/>
      <w:sz w:val="44"/>
      <w:szCs w:val="32"/>
    </w:rPr>
  </w:style>
  <w:style w:type="paragraph" w:styleId="10">
    <w:name w:val="annotation subject"/>
    <w:basedOn w:val="6"/>
    <w:next w:val="6"/>
    <w:link w:val="36"/>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2 字符"/>
    <w:basedOn w:val="13"/>
    <w:link w:val="3"/>
    <w:qFormat/>
    <w:uiPriority w:val="9"/>
    <w:rPr>
      <w:rFonts w:ascii="仿宋_GB2312" w:hAnsi="仿宋_GB2312" w:eastAsia="楷体_GB2312" w:cstheme="majorBidi"/>
      <w:b/>
      <w:sz w:val="32"/>
      <w:szCs w:val="32"/>
    </w:rPr>
  </w:style>
  <w:style w:type="character" w:customStyle="1" w:styleId="16">
    <w:name w:val="标题 3 字符"/>
    <w:basedOn w:val="13"/>
    <w:link w:val="4"/>
    <w:qFormat/>
    <w:uiPriority w:val="9"/>
    <w:rPr>
      <w:rFonts w:ascii="仿宋_GB2312" w:hAnsi="仿宋_GB2312" w:eastAsia="仿宋_GB2312"/>
      <w:b/>
      <w:bCs/>
      <w:sz w:val="32"/>
      <w:szCs w:val="32"/>
    </w:rPr>
  </w:style>
  <w:style w:type="paragraph" w:styleId="17">
    <w:name w:val="No Spacing"/>
    <w:qFormat/>
    <w:uiPriority w:val="1"/>
    <w:pPr>
      <w:widowControl w:val="0"/>
      <w:jc w:val="both"/>
    </w:pPr>
    <w:rPr>
      <w:rFonts w:eastAsia="仿宋_GB2312" w:asciiTheme="minorHAnsi" w:hAnsiTheme="minorHAnsi" w:cstheme="minorBidi"/>
      <w:kern w:val="2"/>
      <w:sz w:val="32"/>
      <w:szCs w:val="24"/>
      <w:lang w:val="en-US" w:eastAsia="zh-CN" w:bidi="ar-SA"/>
    </w:rPr>
  </w:style>
  <w:style w:type="character" w:customStyle="1" w:styleId="18">
    <w:name w:val="标题 字符"/>
    <w:basedOn w:val="13"/>
    <w:link w:val="9"/>
    <w:qFormat/>
    <w:uiPriority w:val="10"/>
    <w:rPr>
      <w:rFonts w:ascii="方正小标宋简体" w:hAnsi="方正小标宋简体" w:eastAsia="方正小标宋简体" w:cstheme="majorBidi"/>
      <w:b/>
      <w:bCs/>
      <w:sz w:val="44"/>
      <w:szCs w:val="32"/>
    </w:rPr>
  </w:style>
  <w:style w:type="paragraph" w:styleId="19">
    <w:name w:val="List Paragraph"/>
    <w:basedOn w:val="1"/>
    <w:qFormat/>
    <w:uiPriority w:val="34"/>
    <w:pPr>
      <w:ind w:firstLine="420"/>
    </w:pPr>
  </w:style>
  <w:style w:type="character" w:customStyle="1" w:styleId="20">
    <w:name w:val="标题 1 字符"/>
    <w:basedOn w:val="13"/>
    <w:link w:val="2"/>
    <w:qFormat/>
    <w:uiPriority w:val="9"/>
    <w:rPr>
      <w:rFonts w:ascii="黑体" w:hAnsi="黑体" w:eastAsia="黑体"/>
      <w:bCs/>
      <w:kern w:val="44"/>
      <w:sz w:val="32"/>
      <w:szCs w:val="44"/>
    </w:rPr>
  </w:style>
  <w:style w:type="character" w:customStyle="1" w:styleId="21">
    <w:name w:val="页眉 字符"/>
    <w:basedOn w:val="13"/>
    <w:link w:val="8"/>
    <w:qFormat/>
    <w:uiPriority w:val="99"/>
    <w:rPr>
      <w:rFonts w:ascii="仿宋_GB2312" w:hAnsi="仿宋_GB2312" w:eastAsia="仿宋_GB2312"/>
      <w:sz w:val="18"/>
      <w:szCs w:val="18"/>
    </w:rPr>
  </w:style>
  <w:style w:type="character" w:customStyle="1" w:styleId="22">
    <w:name w:val="页脚 字符"/>
    <w:basedOn w:val="13"/>
    <w:link w:val="7"/>
    <w:qFormat/>
    <w:uiPriority w:val="99"/>
    <w:rPr>
      <w:rFonts w:ascii="仿宋_GB2312" w:hAnsi="仿宋_GB2312" w:eastAsia="仿宋_GB2312"/>
      <w:sz w:val="18"/>
      <w:szCs w:val="18"/>
    </w:rPr>
  </w:style>
  <w:style w:type="paragraph" w:customStyle="1" w:styleId="23">
    <w:name w:val="标准文件_段"/>
    <w:link w:val="24"/>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标准文件_段 Char"/>
    <w:link w:val="23"/>
    <w:qFormat/>
    <w:uiPriority w:val="0"/>
    <w:rPr>
      <w:rFonts w:ascii="宋体" w:hAnsi="Times New Roman" w:eastAsia="宋体" w:cs="Times New Roman"/>
      <w:sz w:val="21"/>
    </w:rPr>
  </w:style>
  <w:style w:type="paragraph" w:customStyle="1" w:styleId="25">
    <w:name w:val="标准文件_二级条标题"/>
    <w:next w:val="23"/>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三级条标题"/>
    <w:basedOn w:val="25"/>
    <w:next w:val="23"/>
    <w:qFormat/>
    <w:uiPriority w:val="0"/>
    <w:pPr>
      <w:widowControl/>
      <w:numPr>
        <w:ilvl w:val="4"/>
      </w:numPr>
      <w:outlineLvl w:val="3"/>
    </w:pPr>
  </w:style>
  <w:style w:type="paragraph" w:customStyle="1" w:styleId="27">
    <w:name w:val="标准文件_四级条标题"/>
    <w:next w:val="23"/>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8">
    <w:name w:val="标准文件_五级条标题"/>
    <w:next w:val="23"/>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9">
    <w:name w:val="标准文件_章标题"/>
    <w:next w:val="23"/>
    <w:qFormat/>
    <w:uiPriority w:val="0"/>
    <w:pPr>
      <w:numPr>
        <w:ilvl w:val="1"/>
        <w:numId w:val="1"/>
      </w:numPr>
      <w:spacing w:before="312" w:beforeLines="100" w:after="312" w:afterLines="100"/>
      <w:jc w:val="both"/>
      <w:outlineLvl w:val="0"/>
    </w:pPr>
    <w:rPr>
      <w:rFonts w:ascii="黑体" w:hAnsi="Times New Roman" w:eastAsia="黑体" w:cs="Times New Roman"/>
      <w:sz w:val="21"/>
      <w:lang w:val="en-US" w:eastAsia="zh-CN" w:bidi="ar-SA"/>
    </w:rPr>
  </w:style>
  <w:style w:type="paragraph" w:customStyle="1" w:styleId="30">
    <w:name w:val="标准文件_一级条标题"/>
    <w:basedOn w:val="29"/>
    <w:next w:val="23"/>
    <w:qFormat/>
    <w:uiPriority w:val="0"/>
    <w:pPr>
      <w:numPr>
        <w:ilvl w:val="2"/>
      </w:numPr>
      <w:spacing w:before="50" w:beforeLines="50" w:after="50" w:afterLines="50"/>
      <w:ind w:left="0"/>
      <w:outlineLvl w:val="1"/>
    </w:pPr>
  </w:style>
  <w:style w:type="paragraph" w:customStyle="1" w:styleId="3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2">
    <w:name w:val="标准文件_附录表标题"/>
    <w:next w:val="23"/>
    <w:qFormat/>
    <w:uiPriority w:val="0"/>
    <w:pPr>
      <w:numPr>
        <w:ilvl w:val="1"/>
        <w:numId w:val="2"/>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3">
    <w:name w:val="标准文件_附录表标号"/>
    <w:basedOn w:val="23"/>
    <w:next w:val="23"/>
    <w:qFormat/>
    <w:uiPriority w:val="0"/>
    <w:pPr>
      <w:numPr>
        <w:ilvl w:val="0"/>
        <w:numId w:val="2"/>
      </w:numPr>
      <w:spacing w:line="14" w:lineRule="exact"/>
      <w:ind w:firstLine="0"/>
      <w:jc w:val="center"/>
    </w:pPr>
    <w:rPr>
      <w:rFonts w:eastAsia="黑体"/>
      <w:vanish/>
      <w:sz w:val="2"/>
    </w:rPr>
  </w:style>
  <w:style w:type="paragraph" w:customStyle="1" w:styleId="34">
    <w:name w:val="修订1"/>
    <w:hidden/>
    <w:unhideWhenUsed/>
    <w:qFormat/>
    <w:uiPriority w:val="99"/>
    <w:rPr>
      <w:rFonts w:ascii="仿宋_GB2312" w:hAnsi="仿宋_GB2312" w:eastAsia="仿宋_GB2312" w:cstheme="minorBidi"/>
      <w:kern w:val="2"/>
      <w:sz w:val="32"/>
      <w:szCs w:val="24"/>
      <w:lang w:val="en-US" w:eastAsia="zh-CN" w:bidi="ar-SA"/>
    </w:rPr>
  </w:style>
  <w:style w:type="character" w:customStyle="1" w:styleId="35">
    <w:name w:val="批注文字 字符"/>
    <w:basedOn w:val="13"/>
    <w:link w:val="6"/>
    <w:qFormat/>
    <w:uiPriority w:val="99"/>
    <w:rPr>
      <w:rFonts w:ascii="仿宋_GB2312" w:hAnsi="仿宋_GB2312" w:eastAsia="仿宋_GB2312"/>
      <w:kern w:val="2"/>
      <w:sz w:val="32"/>
      <w:szCs w:val="24"/>
    </w:rPr>
  </w:style>
  <w:style w:type="character" w:customStyle="1" w:styleId="36">
    <w:name w:val="批注主题 字符"/>
    <w:basedOn w:val="35"/>
    <w:link w:val="10"/>
    <w:semiHidden/>
    <w:qFormat/>
    <w:uiPriority w:val="99"/>
    <w:rPr>
      <w:rFonts w:ascii="仿宋_GB2312" w:hAnsi="仿宋_GB2312" w:eastAsia="仿宋_GB2312"/>
      <w:b/>
      <w:bCs/>
      <w:kern w:val="2"/>
      <w:sz w:val="32"/>
      <w:szCs w:val="24"/>
    </w:rPr>
  </w:style>
  <w:style w:type="paragraph" w:customStyle="1" w:styleId="37">
    <w:name w:val="修订2"/>
    <w:hidden/>
    <w:unhideWhenUsed/>
    <w:qFormat/>
    <w:uiPriority w:val="99"/>
    <w:rPr>
      <w:rFonts w:ascii="仿宋_GB2312" w:hAnsi="仿宋_GB2312" w:eastAsia="仿宋_GB2312" w:cstheme="minorBidi"/>
      <w:kern w:val="2"/>
      <w:sz w:val="32"/>
      <w:szCs w:val="24"/>
      <w:lang w:val="en-US" w:eastAsia="zh-CN" w:bidi="ar-SA"/>
    </w:rPr>
  </w:style>
  <w:style w:type="paragraph" w:customStyle="1" w:styleId="38">
    <w:name w:val="修订3"/>
    <w:hidden/>
    <w:unhideWhenUsed/>
    <w:qFormat/>
    <w:uiPriority w:val="99"/>
    <w:rPr>
      <w:rFonts w:ascii="仿宋_GB2312" w:hAnsi="仿宋_GB2312" w:eastAsia="仿宋_GB2312" w:cstheme="minorBidi"/>
      <w:kern w:val="2"/>
      <w:sz w:val="32"/>
      <w:szCs w:val="24"/>
      <w:lang w:val="en-US" w:eastAsia="zh-CN" w:bidi="ar-SA"/>
    </w:rPr>
  </w:style>
  <w:style w:type="paragraph" w:customStyle="1" w:styleId="39">
    <w:name w:val="修订4"/>
    <w:hidden/>
    <w:unhideWhenUsed/>
    <w:qFormat/>
    <w:uiPriority w:val="99"/>
    <w:rPr>
      <w:rFonts w:ascii="仿宋_GB2312" w:hAnsi="仿宋_GB2312" w:eastAsia="仿宋_GB2312" w:cstheme="minorBidi"/>
      <w:kern w:val="2"/>
      <w:sz w:val="32"/>
      <w:szCs w:val="24"/>
      <w:lang w:val="en-US" w:eastAsia="zh-CN" w:bidi="ar-SA"/>
    </w:rPr>
  </w:style>
  <w:style w:type="paragraph" w:customStyle="1" w:styleId="40">
    <w:name w:val="Revision"/>
    <w:hidden/>
    <w:unhideWhenUsed/>
    <w:qFormat/>
    <w:uiPriority w:val="99"/>
    <w:rPr>
      <w:rFonts w:ascii="仿宋_GB2312" w:hAnsi="仿宋_GB2312"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2622</Words>
  <Characters>2667</Characters>
  <Lines>201</Lines>
  <Paragraphs>129</Paragraphs>
  <TotalTime>10</TotalTime>
  <ScaleCrop>false</ScaleCrop>
  <LinksUpToDate>false</LinksUpToDate>
  <CharactersWithSpaces>2673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2025-08-05T18:28:00Z</dcterms:created>
  <dc:creator>赖启慧</dc:creator>
  <cp:lastModifiedBy>陈宁宁</cp:lastModifiedBy>
  <cp:lastPrinted>2025-08-06T02:32:00Z</cp:lastPrinted>
  <dcterms:modified xsi:type="dcterms:W3CDTF">2025-08-18T08:12:48Z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F3DFD17884DA4520B93B3E32E1A87AA2_13</vt:lpwstr>
  </property>
  <property fmtid="{D5CDD505-2E9C-101B-9397-08002B2CF9AE}" pid="4" name="KSOTemplateDocerSaveRecord">
    <vt:lpwstr>eyJoZGlkIjoiMGFjZmQ4YzZmZWUxZTY2ZGVmMGI5NzY4NjgyZTQ2NjMiLCJ1c2VySWQiOiIxNjc5OTE2NzQ5In0=</vt:lpwstr>
  </property>
</Properties>
</file>