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ind w:firstLine="0" w:firstLineChars="0"/>
        <w:rPr>
          <w:rFonts w:hint="default" w:ascii="Times New Roman" w:hAnsi="Times New Roman" w:cs="Times New Roman"/>
          <w:lang w:val="en-US" w:eastAsia="zh-CN"/>
        </w:rPr>
      </w:pPr>
    </w:p>
    <w:p>
      <w:pPr>
        <w:ind w:firstLine="0" w:firstLineChars="0"/>
        <w:jc w:val="center"/>
        <w:rPr>
          <w:rFonts w:hint="default" w:ascii="Times New Roman" w:hAnsi="Times New Roman" w:eastAsia="宋体" w:cs="Times New Roman"/>
          <w:b/>
          <w:bCs/>
          <w:kern w:val="0"/>
          <w:sz w:val="44"/>
          <w:szCs w:val="44"/>
        </w:rPr>
      </w:pPr>
      <w:r>
        <w:rPr>
          <w:rFonts w:hint="default" w:ascii="Times New Roman" w:hAnsi="Times New Roman" w:eastAsia="宋体" w:cs="Times New Roman"/>
          <w:b/>
          <w:bCs/>
          <w:kern w:val="0"/>
          <w:sz w:val="44"/>
          <w:szCs w:val="44"/>
        </w:rPr>
        <w:t>编制说明</w:t>
      </w:r>
    </w:p>
    <w:p>
      <w:pPr>
        <w:ind w:firstLine="640"/>
        <w:rPr>
          <w:rFonts w:hint="default" w:ascii="Times New Roman" w:hAnsi="Times New Roman" w:cs="Times New Roman"/>
        </w:rPr>
      </w:pPr>
    </w:p>
    <w:p>
      <w:pPr>
        <w:ind w:firstLine="640"/>
        <w:rPr>
          <w:rFonts w:hint="default" w:ascii="Times New Roman" w:hAnsi="Times New Roman" w:cs="Times New Roman"/>
        </w:rPr>
      </w:pPr>
      <w:bookmarkStart w:id="0" w:name="OLE_LINK46"/>
      <w:r>
        <w:rPr>
          <w:rFonts w:hint="default" w:ascii="Times New Roman" w:hAnsi="Times New Roman" w:cs="Times New Roman"/>
        </w:rPr>
        <w:t>为建立能耗双控向碳排放双控全面转型新机制，落实《国务院办公厅关于印发&lt;加快构建碳排放双控制度体系工作方案&gt;的通知》（国办发〔2024〕39号）《固定资产投资项目节能审查和碳排放评价办法》（国家发展和改革委员会令2025年第31号，以下简称《办法》）相关要求，加强固定资产投资项目能源消费和碳排放管理，</w:t>
      </w:r>
      <w:r>
        <w:rPr>
          <w:rFonts w:hint="eastAsia" w:ascii="Times New Roman" w:hAnsi="Times New Roman" w:cs="Times New Roman"/>
          <w:lang w:val="en-US" w:eastAsia="zh-CN"/>
        </w:rPr>
        <w:t>我委</w:t>
      </w:r>
      <w:r>
        <w:rPr>
          <w:rFonts w:hint="default" w:ascii="Times New Roman" w:hAnsi="Times New Roman" w:cs="Times New Roman"/>
        </w:rPr>
        <w:t>起草《</w:t>
      </w:r>
      <w:r>
        <w:rPr>
          <w:rFonts w:hint="eastAsia" w:ascii="Times New Roman" w:hAnsi="Times New Roman" w:cs="Times New Roman"/>
          <w:lang w:eastAsia="zh-CN"/>
        </w:rPr>
        <w:t>关于</w:t>
      </w:r>
      <w:r>
        <w:rPr>
          <w:rFonts w:hint="default" w:ascii="Times New Roman" w:hAnsi="Times New Roman" w:cs="Times New Roman"/>
        </w:rPr>
        <w:t>固定资产投资项目</w:t>
      </w:r>
      <w:r>
        <w:rPr>
          <w:rFonts w:hint="eastAsia" w:ascii="Times New Roman" w:hAnsi="Times New Roman" w:cs="Times New Roman"/>
          <w:lang w:eastAsia="zh-CN"/>
        </w:rPr>
        <w:t>碳排放评价</w:t>
      </w:r>
      <w:r>
        <w:rPr>
          <w:rFonts w:hint="default" w:ascii="Times New Roman" w:hAnsi="Times New Roman" w:cs="Times New Roman"/>
        </w:rPr>
        <w:t>有关事项的通知</w:t>
      </w:r>
      <w:r>
        <w:rPr>
          <w:rFonts w:hint="eastAsia" w:ascii="Times New Roman" w:hAnsi="Times New Roman" w:cs="Times New Roman"/>
          <w:lang w:eastAsia="zh-CN"/>
        </w:rPr>
        <w:t>（征求意见稿）</w:t>
      </w:r>
      <w:r>
        <w:rPr>
          <w:rFonts w:hint="default" w:ascii="Times New Roman" w:hAnsi="Times New Roman" w:cs="Times New Roman"/>
        </w:rPr>
        <w:t>》（以下简称《通知》），现就有关情况说明如下。</w:t>
      </w:r>
    </w:p>
    <w:bookmarkEnd w:id="0"/>
    <w:p>
      <w:pPr>
        <w:pStyle w:val="2"/>
        <w:ind w:left="1360" w:hanging="720" w:firstLineChars="0"/>
        <w:rPr>
          <w:rFonts w:hint="default" w:ascii="Times New Roman" w:hAnsi="Times New Roman" w:cs="Times New Roman"/>
        </w:rPr>
      </w:pPr>
      <w:r>
        <w:rPr>
          <w:rFonts w:hint="default" w:ascii="Times New Roman" w:hAnsi="Times New Roman" w:cs="Times New Roman"/>
        </w:rPr>
        <w:t>一、工作背景</w:t>
      </w:r>
    </w:p>
    <w:p>
      <w:pPr>
        <w:ind w:firstLine="640"/>
        <w:rPr>
          <w:rFonts w:hint="default" w:ascii="Times New Roman" w:hAnsi="Times New Roman" w:cs="Times New Roman"/>
        </w:rPr>
      </w:pPr>
      <w:bookmarkStart w:id="1" w:name="OLE_LINK90"/>
      <w:r>
        <w:rPr>
          <w:rFonts w:hint="default" w:ascii="Times New Roman" w:hAnsi="Times New Roman" w:cs="Times New Roman"/>
        </w:rPr>
        <w:t>2024年7月30日，国务院办公厅印发《加快构建碳排放双控制度体系工作方案》（国办发〔2024〕39号）</w:t>
      </w:r>
      <w:r>
        <w:rPr>
          <w:rFonts w:hint="default" w:ascii="Times New Roman" w:hAnsi="Times New Roman" w:cs="Times New Roman"/>
          <w:lang w:eastAsia="zh-CN"/>
        </w:rPr>
        <w:t>，</w:t>
      </w:r>
      <w:r>
        <w:rPr>
          <w:rFonts w:hint="default" w:ascii="Times New Roman" w:hAnsi="Times New Roman" w:cs="Times New Roman"/>
        </w:rPr>
        <w:t>提出将碳排放评价有关要求纳入固定资产投资项目节能审查，对项目用能和碳排放情况开展综合评价。</w:t>
      </w:r>
    </w:p>
    <w:p>
      <w:pPr>
        <w:pStyle w:val="11"/>
        <w:ind w:firstLine="640"/>
        <w:rPr>
          <w:rFonts w:hint="default" w:ascii="Times New Roman" w:hAnsi="Times New Roman" w:cs="Times New Roman"/>
        </w:rPr>
      </w:pPr>
      <w:r>
        <w:rPr>
          <w:rFonts w:hint="default" w:ascii="Times New Roman" w:hAnsi="Times New Roman" w:cs="Times New Roman"/>
        </w:rPr>
        <w:t>2025年7月17日，国家发展改革委印发《固定资产投资项目节能审查和碳排放评价办法》（国家发展和改革委员会令2025年第31号），将项目碳排放评价要求贯穿节能报告编制、节能评审和审查、节能审查验收、监督管理等各个环节。</w:t>
      </w:r>
      <w:r>
        <w:rPr>
          <w:rFonts w:hint="default" w:ascii="Times New Roman" w:hAnsi="Times New Roman" w:cs="Times New Roman"/>
          <w:lang w:eastAsia="zh-CN"/>
        </w:rPr>
        <w:t>《办法》</w:t>
      </w:r>
      <w:r>
        <w:rPr>
          <w:rFonts w:hint="default" w:ascii="Times New Roman" w:hAnsi="Times New Roman" w:cs="Times New Roman"/>
        </w:rPr>
        <w:t>要求将碳排放总量、碳排放结构、单位产品碳排放、单位增加值（产值）碳排放等</w:t>
      </w:r>
      <w:r>
        <w:rPr>
          <w:rFonts w:hint="default" w:ascii="Times New Roman" w:hAnsi="Times New Roman" w:cs="Times New Roman"/>
          <w:lang w:eastAsia="zh-CN"/>
        </w:rPr>
        <w:t>数据与国家、行业和地方标准及国际、国内行业先进水平</w:t>
      </w:r>
      <w:r>
        <w:rPr>
          <w:rFonts w:hint="default" w:ascii="Times New Roman" w:hAnsi="Times New Roman" w:cs="Times New Roman"/>
        </w:rPr>
        <w:t>比较</w:t>
      </w:r>
      <w:r>
        <w:rPr>
          <w:rFonts w:hint="default" w:ascii="Times New Roman" w:hAnsi="Times New Roman" w:cs="Times New Roman"/>
          <w:lang w:eastAsia="zh-CN"/>
        </w:rPr>
        <w:t>等</w:t>
      </w:r>
      <w:r>
        <w:rPr>
          <w:rFonts w:hint="default" w:ascii="Times New Roman" w:hAnsi="Times New Roman" w:cs="Times New Roman"/>
        </w:rPr>
        <w:t>情况纳入节能报告。</w:t>
      </w:r>
    </w:p>
    <w:bookmarkEnd w:id="1"/>
    <w:p>
      <w:pPr>
        <w:pStyle w:val="2"/>
        <w:ind w:left="1360" w:hanging="720" w:firstLineChars="0"/>
        <w:rPr>
          <w:rFonts w:hint="default" w:ascii="Times New Roman" w:hAnsi="Times New Roman" w:cs="Times New Roman"/>
        </w:rPr>
      </w:pPr>
      <w:r>
        <w:rPr>
          <w:rFonts w:hint="default" w:ascii="Times New Roman" w:hAnsi="Times New Roman" w:cs="Times New Roman"/>
        </w:rPr>
        <w:t>二、实施范围</w:t>
      </w:r>
    </w:p>
    <w:p>
      <w:pPr>
        <w:ind w:firstLine="640"/>
        <w:rPr>
          <w:rFonts w:hint="default" w:ascii="Times New Roman" w:hAnsi="Times New Roman" w:cs="Times New Roman"/>
        </w:rPr>
      </w:pPr>
      <w:bookmarkStart w:id="2" w:name="OLE_LINK7"/>
      <w:r>
        <w:rPr>
          <w:rFonts w:hint="default" w:ascii="Times New Roman" w:hAnsi="Times New Roman" w:cs="Times New Roman"/>
        </w:rPr>
        <w:t>根据《办法》“第十条 国家发展改革委负责实施节能审查的固定资产投资项目，应同步开展碳排放评价。地方节能审查机关应结合本地实际，对于碳排放量较大且可能对本地区碳达峰形势、碳排放强度降低目标完成等产生不利影响的项目同步开展碳排放评价。”</w:t>
      </w:r>
    </w:p>
    <w:p>
      <w:pPr>
        <w:ind w:firstLine="640"/>
        <w:rPr>
          <w:rFonts w:hint="default" w:ascii="Times New Roman" w:hAnsi="Times New Roman" w:eastAsia="仿宋_GB2312" w:cs="Times New Roman"/>
          <w:highlight w:val="yellow"/>
          <w:lang w:val="en-US" w:eastAsia="zh-CN"/>
        </w:rPr>
      </w:pPr>
      <w:r>
        <w:rPr>
          <w:rFonts w:hint="default" w:ascii="Times New Roman" w:hAnsi="Times New Roman" w:cs="Times New Roman"/>
        </w:rPr>
        <w:t>考虑“十四五”期间全市固定资产投资项目</w:t>
      </w:r>
      <w:r>
        <w:rPr>
          <w:rFonts w:hint="eastAsia" w:ascii="Times New Roman" w:hAnsi="Times New Roman" w:cs="Times New Roman"/>
          <w:lang w:eastAsia="zh-CN"/>
        </w:rPr>
        <w:t>节能审查</w:t>
      </w:r>
      <w:r>
        <w:rPr>
          <w:rFonts w:hint="default" w:ascii="Times New Roman" w:hAnsi="Times New Roman" w:cs="Times New Roman"/>
        </w:rPr>
        <w:t>和审批权限</w:t>
      </w:r>
      <w:r>
        <w:rPr>
          <w:rFonts w:hint="eastAsia" w:ascii="Times New Roman" w:hAnsi="Times New Roman" w:cs="Times New Roman"/>
          <w:lang w:eastAsia="zh-CN"/>
        </w:rPr>
        <w:t>（</w:t>
      </w:r>
      <w:r>
        <w:rPr>
          <w:rFonts w:hint="eastAsia" w:ascii="Times New Roman" w:hAnsi="Times New Roman" w:cs="Times New Roman"/>
          <w:lang w:val="en-US" w:eastAsia="zh-CN"/>
        </w:rPr>
        <w:t>5000吨标准煤及以上项目由市级审查，1000吨标准煤至5000吨标准煤项目由区级审查</w:t>
      </w:r>
      <w:r>
        <w:rPr>
          <w:rFonts w:hint="eastAsia" w:ascii="Times New Roman" w:hAnsi="Times New Roman" w:cs="Times New Roman"/>
          <w:lang w:eastAsia="zh-CN"/>
        </w:rPr>
        <w:t>）</w:t>
      </w:r>
      <w:r>
        <w:rPr>
          <w:rFonts w:hint="default" w:ascii="Times New Roman" w:hAnsi="Times New Roman" w:cs="Times New Roman"/>
        </w:rPr>
        <w:t>等因素，</w:t>
      </w:r>
      <w:r>
        <w:rPr>
          <w:rFonts w:hint="eastAsia" w:ascii="Times New Roman" w:hAnsi="Times New Roman" w:cs="Times New Roman"/>
          <w:lang w:val="en-US" w:eastAsia="zh-CN"/>
        </w:rPr>
        <w:t>5000</w:t>
      </w:r>
      <w:r>
        <w:rPr>
          <w:rFonts w:hint="default" w:ascii="Times New Roman" w:hAnsi="Times New Roman" w:cs="Times New Roman"/>
        </w:rPr>
        <w:t>吨标准煤及以上（或年煤炭消费量在</w:t>
      </w:r>
      <w:r>
        <w:rPr>
          <w:rFonts w:hint="eastAsia" w:ascii="Times New Roman" w:hAnsi="Times New Roman" w:cs="Times New Roman"/>
          <w:lang w:val="en-US" w:eastAsia="zh-CN"/>
        </w:rPr>
        <w:t>5000</w:t>
      </w:r>
      <w:r>
        <w:rPr>
          <w:rFonts w:hint="default" w:ascii="Times New Roman" w:hAnsi="Times New Roman" w:cs="Times New Roman"/>
        </w:rPr>
        <w:t>吨及以上）的固定资产投资项目</w:t>
      </w:r>
      <w:r>
        <w:rPr>
          <w:rFonts w:hint="eastAsia" w:ascii="Times New Roman" w:hAnsi="Times New Roman" w:cs="Times New Roman"/>
          <w:lang w:eastAsia="zh-CN"/>
        </w:rPr>
        <w:t>应同步</w:t>
      </w:r>
      <w:r>
        <w:rPr>
          <w:rFonts w:hint="default" w:ascii="Times New Roman" w:hAnsi="Times New Roman" w:cs="Times New Roman"/>
        </w:rPr>
        <w:t>开展碳排放评价</w:t>
      </w:r>
      <w:r>
        <w:rPr>
          <w:rFonts w:hint="eastAsia" w:ascii="Times New Roman" w:hAnsi="Times New Roman" w:cs="Times New Roman"/>
          <w:lang w:eastAsia="zh-CN"/>
        </w:rPr>
        <w:t>；鼓励</w:t>
      </w:r>
      <w:r>
        <w:rPr>
          <w:rFonts w:hint="eastAsia" w:ascii="Times New Roman" w:hAnsi="Times New Roman" w:cs="Times New Roman"/>
          <w:lang w:val="en-US" w:eastAsia="zh-CN"/>
        </w:rPr>
        <w:t>1000吨标准煤及以上（</w:t>
      </w:r>
      <w:r>
        <w:rPr>
          <w:rFonts w:hint="default" w:ascii="Times New Roman" w:hAnsi="Times New Roman" w:cs="Times New Roman"/>
        </w:rPr>
        <w:t>或年煤炭消费量在</w:t>
      </w:r>
      <w:r>
        <w:rPr>
          <w:rFonts w:hint="eastAsia" w:ascii="Times New Roman" w:hAnsi="Times New Roman" w:cs="Times New Roman"/>
          <w:lang w:val="en-US" w:eastAsia="zh-CN"/>
        </w:rPr>
        <w:t>1000</w:t>
      </w:r>
      <w:r>
        <w:rPr>
          <w:rFonts w:hint="default" w:ascii="Times New Roman" w:hAnsi="Times New Roman" w:cs="Times New Roman"/>
        </w:rPr>
        <w:t>吨及以上</w:t>
      </w:r>
      <w:r>
        <w:rPr>
          <w:rFonts w:hint="eastAsia" w:ascii="Times New Roman" w:hAnsi="Times New Roman" w:cs="Times New Roman"/>
          <w:lang w:val="en-US" w:eastAsia="zh-CN"/>
        </w:rPr>
        <w:t>）的项目同步开展碳排放评价。</w:t>
      </w:r>
    </w:p>
    <w:bookmarkEnd w:id="2"/>
    <w:p>
      <w:pPr>
        <w:pStyle w:val="2"/>
        <w:ind w:left="1360" w:hanging="720" w:firstLineChars="0"/>
        <w:rPr>
          <w:rFonts w:hint="default" w:ascii="Times New Roman" w:hAnsi="Times New Roman" w:cs="Times New Roman"/>
        </w:rPr>
      </w:pPr>
      <w:bookmarkStart w:id="3" w:name="OLE_LINK31"/>
      <w:r>
        <w:rPr>
          <w:rFonts w:hint="default" w:ascii="Times New Roman" w:hAnsi="Times New Roman" w:cs="Times New Roman"/>
        </w:rPr>
        <w:t>三、编制思路</w:t>
      </w:r>
    </w:p>
    <w:bookmarkEnd w:id="3"/>
    <w:p>
      <w:pPr>
        <w:ind w:firstLine="640"/>
        <w:rPr>
          <w:rFonts w:hint="default" w:ascii="Times New Roman" w:hAnsi="Times New Roman" w:cs="Times New Roman"/>
        </w:rPr>
      </w:pPr>
      <w:bookmarkStart w:id="4" w:name="OLE_LINK23"/>
      <w:bookmarkStart w:id="5" w:name="OLE_LINK13"/>
      <w:bookmarkStart w:id="6" w:name="OLE_LINK11"/>
      <w:bookmarkStart w:id="7" w:name="OLE_LINK8"/>
      <w:bookmarkStart w:id="8" w:name="OLE_LINK14"/>
      <w:r>
        <w:rPr>
          <w:rStyle w:val="28"/>
          <w:rFonts w:hint="default" w:ascii="Times New Roman" w:hAnsi="Times New Roman" w:cs="Times New Roman"/>
        </w:rPr>
        <w:t>（一）</w:t>
      </w:r>
      <w:bookmarkStart w:id="9" w:name="OLE_LINK33"/>
      <w:bookmarkStart w:id="10" w:name="OLE_LINK40"/>
      <w:r>
        <w:rPr>
          <w:rStyle w:val="28"/>
          <w:rFonts w:hint="default" w:ascii="Times New Roman" w:hAnsi="Times New Roman" w:cs="Times New Roman"/>
        </w:rPr>
        <w:t>政策导向与目标协同。</w:t>
      </w:r>
      <w:r>
        <w:rPr>
          <w:rFonts w:hint="default" w:ascii="Times New Roman" w:hAnsi="Times New Roman" w:cs="Times New Roman"/>
        </w:rPr>
        <w:t>与国家“双碳”战略、能耗双控向碳排放双控全面转型、新《办法》等相衔接，确保文件</w:t>
      </w:r>
      <w:r>
        <w:rPr>
          <w:rFonts w:hint="eastAsia" w:ascii="Times New Roman" w:hAnsi="Times New Roman" w:cs="Times New Roman"/>
          <w:lang w:eastAsia="zh-CN"/>
        </w:rPr>
        <w:t>要求</w:t>
      </w:r>
      <w:r>
        <w:rPr>
          <w:rFonts w:hint="default" w:ascii="Times New Roman" w:hAnsi="Times New Roman" w:cs="Times New Roman"/>
        </w:rPr>
        <w:t>与</w:t>
      </w:r>
      <w:r>
        <w:rPr>
          <w:rFonts w:hint="eastAsia" w:ascii="Times New Roman" w:hAnsi="Times New Roman" w:cs="Times New Roman"/>
          <w:lang w:eastAsia="zh-CN"/>
        </w:rPr>
        <w:t>上级</w:t>
      </w:r>
      <w:r>
        <w:rPr>
          <w:rFonts w:hint="default" w:ascii="Times New Roman" w:hAnsi="Times New Roman" w:cs="Times New Roman"/>
        </w:rPr>
        <w:t>政策保持一致</w:t>
      </w:r>
      <w:r>
        <w:rPr>
          <w:rFonts w:hint="eastAsia" w:ascii="Times New Roman" w:hAnsi="Times New Roman" w:cs="Times New Roman"/>
          <w:lang w:eastAsia="zh-CN"/>
        </w:rPr>
        <w:t>，</w:t>
      </w:r>
      <w:r>
        <w:rPr>
          <w:rFonts w:hint="default" w:ascii="Times New Roman" w:hAnsi="Times New Roman" w:cs="Times New Roman"/>
        </w:rPr>
        <w:t>推动节能降碳与经济社会发展</w:t>
      </w:r>
      <w:r>
        <w:rPr>
          <w:rFonts w:hint="eastAsia" w:ascii="Times New Roman" w:hAnsi="Times New Roman" w:cs="Times New Roman"/>
          <w:lang w:eastAsia="zh-CN"/>
        </w:rPr>
        <w:t>、</w:t>
      </w:r>
      <w:r>
        <w:rPr>
          <w:rFonts w:hint="default" w:ascii="Times New Roman" w:hAnsi="Times New Roman" w:cs="Times New Roman"/>
        </w:rPr>
        <w:t>能源结构优化、产业升级等目标的协同。</w:t>
      </w:r>
    </w:p>
    <w:p>
      <w:pPr>
        <w:ind w:firstLine="640"/>
        <w:rPr>
          <w:rStyle w:val="28"/>
          <w:rFonts w:hint="default" w:ascii="Times New Roman" w:hAnsi="Times New Roman" w:eastAsia="仿宋_GB2312" w:cs="Times New Roman"/>
        </w:rPr>
      </w:pPr>
      <w:r>
        <w:rPr>
          <w:rStyle w:val="28"/>
          <w:rFonts w:hint="default" w:ascii="Times New Roman" w:hAnsi="Times New Roman" w:cs="Times New Roman"/>
        </w:rPr>
        <w:t>（二）科学性与可操作性。</w:t>
      </w:r>
      <w:r>
        <w:rPr>
          <w:rFonts w:hint="default" w:ascii="Times New Roman" w:hAnsi="Times New Roman" w:cs="Times New Roman"/>
        </w:rPr>
        <w:t>基于国际通行的碳排放核算方法和深圳市地方标准，按照《办法》相关要求提供固定资产投资项目碳排放评价要点，规范碳排放评价相关内容，增强可操作性。</w:t>
      </w:r>
    </w:p>
    <w:p>
      <w:pPr>
        <w:ind w:firstLine="640"/>
        <w:rPr>
          <w:rFonts w:hint="default" w:ascii="Times New Roman" w:hAnsi="Times New Roman" w:cs="Times New Roman"/>
        </w:rPr>
      </w:pPr>
      <w:r>
        <w:rPr>
          <w:rStyle w:val="28"/>
          <w:rFonts w:hint="default" w:ascii="Times New Roman" w:hAnsi="Times New Roman" w:cs="Times New Roman"/>
        </w:rPr>
        <w:t>（三）绿色低碳技术创新引领。</w:t>
      </w:r>
      <w:r>
        <w:rPr>
          <w:rFonts w:hint="default" w:ascii="Times New Roman" w:hAnsi="Times New Roman" w:cs="Times New Roman"/>
        </w:rPr>
        <w:t>鼓励可再生能源、碳捕集利用和封存（CCUS）、智能微电网</w:t>
      </w:r>
      <w:r>
        <w:rPr>
          <w:rFonts w:hint="eastAsia" w:ascii="Times New Roman" w:hAnsi="Times New Roman" w:cs="Times New Roman"/>
          <w:lang w:eastAsia="zh-CN"/>
        </w:rPr>
        <w:t>等</w:t>
      </w:r>
      <w:r>
        <w:rPr>
          <w:rFonts w:hint="default" w:ascii="Times New Roman" w:hAnsi="Times New Roman" w:cs="Times New Roman"/>
        </w:rPr>
        <w:t>绿色低碳技术</w:t>
      </w:r>
      <w:r>
        <w:rPr>
          <w:rFonts w:hint="eastAsia" w:ascii="Times New Roman" w:hAnsi="Times New Roman" w:cs="Times New Roman"/>
          <w:lang w:eastAsia="zh-CN"/>
        </w:rPr>
        <w:t>在项目设计中</w:t>
      </w:r>
      <w:r>
        <w:rPr>
          <w:rFonts w:hint="default" w:ascii="Times New Roman" w:hAnsi="Times New Roman" w:cs="Times New Roman"/>
        </w:rPr>
        <w:t>应用，</w:t>
      </w:r>
      <w:r>
        <w:rPr>
          <w:rFonts w:hint="eastAsia" w:ascii="Times New Roman" w:hAnsi="Times New Roman" w:cs="Times New Roman"/>
          <w:lang w:eastAsia="zh-CN"/>
        </w:rPr>
        <w:t>建设碳排放在线连续自动监测系统，降低</w:t>
      </w:r>
      <w:r>
        <w:rPr>
          <w:rFonts w:hint="default" w:ascii="Times New Roman" w:hAnsi="Times New Roman" w:cs="Times New Roman"/>
        </w:rPr>
        <w:t>固定资产投资项目碳排放水平。</w:t>
      </w:r>
    </w:p>
    <w:bookmarkEnd w:id="4"/>
    <w:bookmarkEnd w:id="5"/>
    <w:bookmarkEnd w:id="6"/>
    <w:bookmarkEnd w:id="7"/>
    <w:bookmarkEnd w:id="8"/>
    <w:bookmarkEnd w:id="9"/>
    <w:bookmarkEnd w:id="10"/>
    <w:p>
      <w:pPr>
        <w:pStyle w:val="2"/>
        <w:ind w:firstLine="640"/>
        <w:rPr>
          <w:rFonts w:hint="default" w:ascii="Times New Roman" w:hAnsi="Times New Roman" w:cs="Times New Roman"/>
        </w:rPr>
      </w:pPr>
      <w:r>
        <w:rPr>
          <w:rFonts w:hint="default" w:ascii="Times New Roman" w:hAnsi="Times New Roman" w:cs="Times New Roman"/>
        </w:rPr>
        <w:t>四、主要内容</w:t>
      </w:r>
    </w:p>
    <w:p>
      <w:pPr>
        <w:ind w:firstLine="640"/>
        <w:rPr>
          <w:rFonts w:hint="default" w:ascii="Times New Roman" w:hAnsi="Times New Roman" w:cs="Times New Roman"/>
        </w:rPr>
      </w:pPr>
      <w:bookmarkStart w:id="11" w:name="OLE_LINK24"/>
      <w:r>
        <w:rPr>
          <w:rFonts w:hint="default" w:ascii="Times New Roman" w:hAnsi="Times New Roman" w:cs="Times New Roman"/>
        </w:rPr>
        <w:t>《通知》分为实施范围、工作内容、其他事项</w:t>
      </w:r>
      <w:r>
        <w:rPr>
          <w:rFonts w:hint="eastAsia" w:ascii="Times New Roman" w:hAnsi="Times New Roman" w:cs="Times New Roman"/>
          <w:lang w:eastAsia="zh-CN"/>
        </w:rPr>
        <w:t>等要求及</w:t>
      </w:r>
      <w:r>
        <w:rPr>
          <w:rFonts w:hint="default" w:ascii="Times New Roman" w:hAnsi="Times New Roman" w:cs="Times New Roman"/>
        </w:rPr>
        <w:t>附件</w:t>
      </w:r>
      <w:bookmarkEnd w:id="11"/>
      <w:r>
        <w:rPr>
          <w:rFonts w:hint="default" w:ascii="Times New Roman" w:hAnsi="Times New Roman" w:cs="Times New Roman"/>
        </w:rPr>
        <w:t>。</w:t>
      </w:r>
    </w:p>
    <w:p>
      <w:pPr>
        <w:ind w:firstLine="640"/>
        <w:rPr>
          <w:rFonts w:hint="default" w:ascii="Times New Roman" w:hAnsi="Times New Roman" w:cs="Times New Roman"/>
        </w:rPr>
      </w:pPr>
      <w:r>
        <w:rPr>
          <w:rFonts w:hint="default" w:ascii="Times New Roman" w:hAnsi="Times New Roman" w:cs="Times New Roman"/>
        </w:rPr>
        <w:t>第一部分是实施范围，</w:t>
      </w:r>
      <w:r>
        <w:rPr>
          <w:rFonts w:hint="eastAsia" w:ascii="Times New Roman" w:hAnsi="Times New Roman" w:cs="Times New Roman"/>
          <w:lang w:val="en-US" w:eastAsia="zh-CN"/>
        </w:rPr>
        <w:t>5000</w:t>
      </w:r>
      <w:r>
        <w:rPr>
          <w:rFonts w:hint="default" w:ascii="Times New Roman" w:hAnsi="Times New Roman" w:cs="Times New Roman"/>
        </w:rPr>
        <w:t>吨标准煤及以上（或年煤炭消费量在</w:t>
      </w:r>
      <w:r>
        <w:rPr>
          <w:rFonts w:hint="eastAsia" w:ascii="Times New Roman" w:hAnsi="Times New Roman" w:cs="Times New Roman"/>
          <w:lang w:val="en-US" w:eastAsia="zh-CN"/>
        </w:rPr>
        <w:t>5000</w:t>
      </w:r>
      <w:r>
        <w:rPr>
          <w:rFonts w:hint="default" w:ascii="Times New Roman" w:hAnsi="Times New Roman" w:cs="Times New Roman"/>
        </w:rPr>
        <w:t>吨及以上）的固定资产投资项目</w:t>
      </w:r>
      <w:r>
        <w:rPr>
          <w:rFonts w:hint="eastAsia" w:ascii="Times New Roman" w:hAnsi="Times New Roman" w:cs="Times New Roman"/>
          <w:lang w:eastAsia="zh-CN"/>
        </w:rPr>
        <w:t>应同步</w:t>
      </w:r>
      <w:r>
        <w:rPr>
          <w:rFonts w:hint="default" w:ascii="Times New Roman" w:hAnsi="Times New Roman" w:cs="Times New Roman"/>
        </w:rPr>
        <w:t>开展碳排放评价</w:t>
      </w:r>
      <w:r>
        <w:rPr>
          <w:rFonts w:hint="eastAsia" w:ascii="Times New Roman" w:hAnsi="Times New Roman" w:cs="Times New Roman"/>
          <w:lang w:eastAsia="zh-CN"/>
        </w:rPr>
        <w:t>，鼓励</w:t>
      </w:r>
      <w:r>
        <w:rPr>
          <w:rFonts w:hint="eastAsia" w:ascii="Times New Roman" w:hAnsi="Times New Roman" w:cs="Times New Roman"/>
          <w:lang w:val="en-US" w:eastAsia="zh-CN"/>
        </w:rPr>
        <w:t>1000吨标准煤及以上（</w:t>
      </w:r>
      <w:r>
        <w:rPr>
          <w:rFonts w:hint="default" w:ascii="Times New Roman" w:hAnsi="Times New Roman" w:cs="Times New Roman"/>
        </w:rPr>
        <w:t>或年煤炭消费量在</w:t>
      </w:r>
      <w:r>
        <w:rPr>
          <w:rFonts w:hint="eastAsia" w:ascii="Times New Roman" w:hAnsi="Times New Roman" w:cs="Times New Roman"/>
          <w:lang w:val="en-US" w:eastAsia="zh-CN"/>
        </w:rPr>
        <w:t>1000</w:t>
      </w:r>
      <w:r>
        <w:rPr>
          <w:rFonts w:hint="default" w:ascii="Times New Roman" w:hAnsi="Times New Roman" w:cs="Times New Roman"/>
        </w:rPr>
        <w:t>吨及以上</w:t>
      </w:r>
      <w:r>
        <w:rPr>
          <w:rFonts w:hint="eastAsia" w:ascii="Times New Roman" w:hAnsi="Times New Roman" w:cs="Times New Roman"/>
          <w:lang w:val="en-US" w:eastAsia="zh-CN"/>
        </w:rPr>
        <w:t>）的项目同步开展碳排放评价。</w:t>
      </w:r>
    </w:p>
    <w:p>
      <w:pPr>
        <w:pStyle w:val="20"/>
        <w:ind w:firstLine="640"/>
        <w:rPr>
          <w:rFonts w:hint="default" w:ascii="Times New Roman" w:hAnsi="Times New Roman" w:cs="Times New Roman"/>
        </w:rPr>
      </w:pPr>
      <w:r>
        <w:rPr>
          <w:rFonts w:hint="default" w:ascii="Times New Roman" w:hAnsi="Times New Roman" w:cs="Times New Roman"/>
        </w:rPr>
        <w:t>第二部分是工作内容，包括</w:t>
      </w:r>
      <w:bookmarkStart w:id="12" w:name="OLE_LINK26"/>
      <w:r>
        <w:rPr>
          <w:rFonts w:hint="default" w:ascii="Times New Roman" w:hAnsi="Times New Roman" w:cs="Times New Roman"/>
        </w:rPr>
        <w:t>同步开展碳排放评价、加强绿色低碳技术应用、鼓励可再生能源替代、建立碳排放管理体系、加强碳排放评价管理等五条措施。</w:t>
      </w:r>
    </w:p>
    <w:bookmarkEnd w:id="12"/>
    <w:p>
      <w:pPr>
        <w:pStyle w:val="20"/>
        <w:ind w:firstLine="640"/>
        <w:rPr>
          <w:rFonts w:hint="default" w:ascii="Times New Roman" w:hAnsi="Times New Roman" w:cs="Times New Roman"/>
        </w:rPr>
      </w:pPr>
      <w:r>
        <w:rPr>
          <w:rFonts w:hint="default" w:ascii="Times New Roman" w:hAnsi="Times New Roman" w:cs="Times New Roman"/>
        </w:rPr>
        <w:t>第三部分是其他事项</w:t>
      </w:r>
      <w:bookmarkStart w:id="13" w:name="OLE_LINK38"/>
      <w:r>
        <w:rPr>
          <w:rFonts w:hint="default" w:ascii="Times New Roman" w:hAnsi="Times New Roman" w:cs="Times New Roman"/>
        </w:rPr>
        <w:t>，要求各有关部门积极推进碳排放评价相关工作。</w:t>
      </w:r>
    </w:p>
    <w:bookmarkEnd w:id="13"/>
    <w:p>
      <w:pPr>
        <w:pStyle w:val="20"/>
        <w:ind w:firstLine="640"/>
        <w:rPr>
          <w:rFonts w:hint="default" w:ascii="Times New Roman" w:hAnsi="Times New Roman" w:cs="Times New Roman"/>
        </w:rPr>
      </w:pPr>
      <w:r>
        <w:rPr>
          <w:rFonts w:hint="default" w:ascii="Times New Roman" w:hAnsi="Times New Roman" w:cs="Times New Roman"/>
        </w:rPr>
        <w:t>第四部分是</w:t>
      </w:r>
      <w:bookmarkStart w:id="14" w:name="OLE_LINK37"/>
      <w:r>
        <w:rPr>
          <w:rFonts w:hint="default" w:ascii="Times New Roman" w:hAnsi="Times New Roman" w:cs="Times New Roman"/>
        </w:rPr>
        <w:t>附件深圳市固定资产投资项目碳排放评价要点，</w:t>
      </w:r>
      <w:r>
        <w:rPr>
          <w:rFonts w:hint="eastAsia" w:ascii="Times New Roman" w:hAnsi="Times New Roman" w:cs="Times New Roman"/>
          <w:lang w:eastAsia="zh-CN"/>
        </w:rPr>
        <w:t>明确</w:t>
      </w:r>
      <w:r>
        <w:rPr>
          <w:rFonts w:hint="default" w:ascii="Times New Roman" w:hAnsi="Times New Roman" w:cs="Times New Roman"/>
        </w:rPr>
        <w:t>碳排放评价需涵盖的内容，包括评价依据、建设及运营方案节能降碳分析和比选、节能降碳措施、项目碳排放分析、项目碳排放绩效水平评价、碳排放评价结论等六方面内容。</w:t>
      </w:r>
      <w:bookmarkStart w:id="15" w:name="_GoBack"/>
      <w:bookmarkEnd w:id="15"/>
    </w:p>
    <w:bookmarkEnd w:id="14"/>
    <w:p>
      <w:pPr>
        <w:pStyle w:val="11"/>
        <w:rPr>
          <w:rFonts w:hint="default" w:ascii="Times New Roman" w:hAnsi="Times New Roman" w:cs="Times New Roman"/>
        </w:rPr>
      </w:pPr>
    </w:p>
    <w:p>
      <w:pPr>
        <w:pStyle w:val="11"/>
        <w:rPr>
          <w:rFonts w:hint="default" w:ascii="Times New Roman" w:hAnsi="Times New Roman" w:cs="Times New Roman"/>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556436"/>
    </w:sdtPr>
    <w:sdtContent>
      <w:p>
        <w:pPr>
          <w:pStyle w:val="14"/>
          <w:ind w:firstLine="0" w:firstLineChars="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1380B"/>
    <w:multiLevelType w:val="multilevel"/>
    <w:tmpl w:val="1921380B"/>
    <w:lvl w:ilvl="0" w:tentative="0">
      <w:start w:val="1"/>
      <w:numFmt w:val="decimal"/>
      <w:pStyle w:val="51"/>
      <w:suff w:val="nothing"/>
      <w:lvlText w:val="表%1 "/>
      <w:lvlJc w:val="center"/>
      <w:pPr>
        <w:ind w:left="2669" w:hanging="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E8"/>
    <w:rsid w:val="00022D48"/>
    <w:rsid w:val="0003322D"/>
    <w:rsid w:val="00037F38"/>
    <w:rsid w:val="0004503C"/>
    <w:rsid w:val="00053394"/>
    <w:rsid w:val="000544E4"/>
    <w:rsid w:val="0005734F"/>
    <w:rsid w:val="00063D3B"/>
    <w:rsid w:val="00072FDD"/>
    <w:rsid w:val="00096F80"/>
    <w:rsid w:val="000A00EB"/>
    <w:rsid w:val="000B4674"/>
    <w:rsid w:val="000C21DC"/>
    <w:rsid w:val="000C2BB0"/>
    <w:rsid w:val="000C5C55"/>
    <w:rsid w:val="000D02EA"/>
    <w:rsid w:val="000D4925"/>
    <w:rsid w:val="000E6D0F"/>
    <w:rsid w:val="000E786C"/>
    <w:rsid w:val="00101AB0"/>
    <w:rsid w:val="001023F2"/>
    <w:rsid w:val="001309FC"/>
    <w:rsid w:val="00130F3A"/>
    <w:rsid w:val="00134C73"/>
    <w:rsid w:val="00197089"/>
    <w:rsid w:val="001B6CFF"/>
    <w:rsid w:val="001C435E"/>
    <w:rsid w:val="001E065C"/>
    <w:rsid w:val="00201EA5"/>
    <w:rsid w:val="00207CF2"/>
    <w:rsid w:val="002347A9"/>
    <w:rsid w:val="0024663C"/>
    <w:rsid w:val="00256D7C"/>
    <w:rsid w:val="002629F9"/>
    <w:rsid w:val="00263417"/>
    <w:rsid w:val="002845F8"/>
    <w:rsid w:val="002B46FF"/>
    <w:rsid w:val="002B47BD"/>
    <w:rsid w:val="002C61D2"/>
    <w:rsid w:val="002D1621"/>
    <w:rsid w:val="002D374B"/>
    <w:rsid w:val="002E0C71"/>
    <w:rsid w:val="002F4A2B"/>
    <w:rsid w:val="00306864"/>
    <w:rsid w:val="00314238"/>
    <w:rsid w:val="00315128"/>
    <w:rsid w:val="00343925"/>
    <w:rsid w:val="003513A0"/>
    <w:rsid w:val="00362740"/>
    <w:rsid w:val="003654F1"/>
    <w:rsid w:val="00374623"/>
    <w:rsid w:val="003A7CAB"/>
    <w:rsid w:val="003D4A96"/>
    <w:rsid w:val="003F6B56"/>
    <w:rsid w:val="0040147D"/>
    <w:rsid w:val="0040251D"/>
    <w:rsid w:val="004162C0"/>
    <w:rsid w:val="0043478E"/>
    <w:rsid w:val="00435FC4"/>
    <w:rsid w:val="00441DEE"/>
    <w:rsid w:val="00452F35"/>
    <w:rsid w:val="00470741"/>
    <w:rsid w:val="004716BF"/>
    <w:rsid w:val="00493EEB"/>
    <w:rsid w:val="004A1A02"/>
    <w:rsid w:val="004C417F"/>
    <w:rsid w:val="004D035A"/>
    <w:rsid w:val="004D3870"/>
    <w:rsid w:val="004F50B2"/>
    <w:rsid w:val="00504C24"/>
    <w:rsid w:val="00515D25"/>
    <w:rsid w:val="005256BE"/>
    <w:rsid w:val="00564ADC"/>
    <w:rsid w:val="00564E1F"/>
    <w:rsid w:val="005654E8"/>
    <w:rsid w:val="00577262"/>
    <w:rsid w:val="00581538"/>
    <w:rsid w:val="00585B86"/>
    <w:rsid w:val="0058694B"/>
    <w:rsid w:val="005B2A4D"/>
    <w:rsid w:val="005C7B90"/>
    <w:rsid w:val="005D0CB4"/>
    <w:rsid w:val="005E05CD"/>
    <w:rsid w:val="005F5D85"/>
    <w:rsid w:val="006024A5"/>
    <w:rsid w:val="006104E8"/>
    <w:rsid w:val="0063480A"/>
    <w:rsid w:val="00660E76"/>
    <w:rsid w:val="00665FBD"/>
    <w:rsid w:val="00681303"/>
    <w:rsid w:val="006B676B"/>
    <w:rsid w:val="00710774"/>
    <w:rsid w:val="007115D7"/>
    <w:rsid w:val="00716E70"/>
    <w:rsid w:val="00726094"/>
    <w:rsid w:val="00756703"/>
    <w:rsid w:val="00765B27"/>
    <w:rsid w:val="00766647"/>
    <w:rsid w:val="007720BA"/>
    <w:rsid w:val="00776741"/>
    <w:rsid w:val="007875DA"/>
    <w:rsid w:val="00793EA3"/>
    <w:rsid w:val="007A0DA3"/>
    <w:rsid w:val="007A149F"/>
    <w:rsid w:val="007B7A7B"/>
    <w:rsid w:val="007C23C2"/>
    <w:rsid w:val="007C4C8B"/>
    <w:rsid w:val="007C5196"/>
    <w:rsid w:val="007D0B80"/>
    <w:rsid w:val="007E1DD5"/>
    <w:rsid w:val="007E2976"/>
    <w:rsid w:val="007E377B"/>
    <w:rsid w:val="007E5019"/>
    <w:rsid w:val="007F745B"/>
    <w:rsid w:val="00806D2B"/>
    <w:rsid w:val="00807093"/>
    <w:rsid w:val="008142C9"/>
    <w:rsid w:val="00820A27"/>
    <w:rsid w:val="00845649"/>
    <w:rsid w:val="00893778"/>
    <w:rsid w:val="008A1B7F"/>
    <w:rsid w:val="008A35BD"/>
    <w:rsid w:val="008A6ABA"/>
    <w:rsid w:val="008B5BFF"/>
    <w:rsid w:val="008E0486"/>
    <w:rsid w:val="008F6AC5"/>
    <w:rsid w:val="00917DC0"/>
    <w:rsid w:val="009258F3"/>
    <w:rsid w:val="00957D41"/>
    <w:rsid w:val="00964127"/>
    <w:rsid w:val="00984530"/>
    <w:rsid w:val="00992AC8"/>
    <w:rsid w:val="009B4CB9"/>
    <w:rsid w:val="009B5F6E"/>
    <w:rsid w:val="009C030E"/>
    <w:rsid w:val="009C4B5C"/>
    <w:rsid w:val="009F469D"/>
    <w:rsid w:val="00A14EC2"/>
    <w:rsid w:val="00A27C57"/>
    <w:rsid w:val="00A30260"/>
    <w:rsid w:val="00A4255B"/>
    <w:rsid w:val="00A439A3"/>
    <w:rsid w:val="00A453F7"/>
    <w:rsid w:val="00A67CE8"/>
    <w:rsid w:val="00A86F8B"/>
    <w:rsid w:val="00AA031B"/>
    <w:rsid w:val="00AA102C"/>
    <w:rsid w:val="00AA2FDD"/>
    <w:rsid w:val="00AA422E"/>
    <w:rsid w:val="00AA6FB4"/>
    <w:rsid w:val="00AA7A00"/>
    <w:rsid w:val="00AB55CD"/>
    <w:rsid w:val="00AE6B78"/>
    <w:rsid w:val="00B03E43"/>
    <w:rsid w:val="00B472D5"/>
    <w:rsid w:val="00B514C3"/>
    <w:rsid w:val="00B65B73"/>
    <w:rsid w:val="00B81AB3"/>
    <w:rsid w:val="00BB0676"/>
    <w:rsid w:val="00BB3F96"/>
    <w:rsid w:val="00BB65CE"/>
    <w:rsid w:val="00BD1669"/>
    <w:rsid w:val="00BE2A4C"/>
    <w:rsid w:val="00C17BA0"/>
    <w:rsid w:val="00C214E7"/>
    <w:rsid w:val="00C26F79"/>
    <w:rsid w:val="00C308F5"/>
    <w:rsid w:val="00C45868"/>
    <w:rsid w:val="00C53317"/>
    <w:rsid w:val="00C563ED"/>
    <w:rsid w:val="00C574FA"/>
    <w:rsid w:val="00C67172"/>
    <w:rsid w:val="00C76062"/>
    <w:rsid w:val="00C80968"/>
    <w:rsid w:val="00C93222"/>
    <w:rsid w:val="00C95A3E"/>
    <w:rsid w:val="00C97EF3"/>
    <w:rsid w:val="00CC2086"/>
    <w:rsid w:val="00CD4217"/>
    <w:rsid w:val="00CD672B"/>
    <w:rsid w:val="00CF5F14"/>
    <w:rsid w:val="00D178E0"/>
    <w:rsid w:val="00D46E5B"/>
    <w:rsid w:val="00D72432"/>
    <w:rsid w:val="00D9030F"/>
    <w:rsid w:val="00D97529"/>
    <w:rsid w:val="00DC0A9A"/>
    <w:rsid w:val="00DC753E"/>
    <w:rsid w:val="00DF08D6"/>
    <w:rsid w:val="00DF1BD7"/>
    <w:rsid w:val="00E032FA"/>
    <w:rsid w:val="00E21C1E"/>
    <w:rsid w:val="00E4097E"/>
    <w:rsid w:val="00E6335C"/>
    <w:rsid w:val="00E71B92"/>
    <w:rsid w:val="00EA0211"/>
    <w:rsid w:val="00EA52D6"/>
    <w:rsid w:val="00EB3275"/>
    <w:rsid w:val="00ED2D0C"/>
    <w:rsid w:val="00EF34A5"/>
    <w:rsid w:val="00EF36DD"/>
    <w:rsid w:val="00EF6927"/>
    <w:rsid w:val="00F0334A"/>
    <w:rsid w:val="00F051B6"/>
    <w:rsid w:val="00F068A8"/>
    <w:rsid w:val="00F237F4"/>
    <w:rsid w:val="00F46BA4"/>
    <w:rsid w:val="00F86A58"/>
    <w:rsid w:val="00F909B4"/>
    <w:rsid w:val="00F95697"/>
    <w:rsid w:val="00FA7B13"/>
    <w:rsid w:val="00FB384F"/>
    <w:rsid w:val="00FB388B"/>
    <w:rsid w:val="00FC5BB4"/>
    <w:rsid w:val="00FC7DF1"/>
    <w:rsid w:val="00FD065B"/>
    <w:rsid w:val="00FF1285"/>
    <w:rsid w:val="00FF135A"/>
    <w:rsid w:val="00FF4B83"/>
    <w:rsid w:val="033E5F60"/>
    <w:rsid w:val="04BA64C7"/>
    <w:rsid w:val="05A84572"/>
    <w:rsid w:val="06E94C25"/>
    <w:rsid w:val="06EE3DAC"/>
    <w:rsid w:val="09732EB9"/>
    <w:rsid w:val="0E4A6189"/>
    <w:rsid w:val="175D4F73"/>
    <w:rsid w:val="197A625B"/>
    <w:rsid w:val="1A78E0BD"/>
    <w:rsid w:val="234A25AF"/>
    <w:rsid w:val="238C1686"/>
    <w:rsid w:val="27D1489B"/>
    <w:rsid w:val="29B23078"/>
    <w:rsid w:val="2DB76677"/>
    <w:rsid w:val="30D15875"/>
    <w:rsid w:val="33BE24D7"/>
    <w:rsid w:val="3CD86591"/>
    <w:rsid w:val="3D636076"/>
    <w:rsid w:val="3E291F3B"/>
    <w:rsid w:val="3E7A6322"/>
    <w:rsid w:val="3EF92D8B"/>
    <w:rsid w:val="3FDBD30A"/>
    <w:rsid w:val="4287333E"/>
    <w:rsid w:val="477B1BC8"/>
    <w:rsid w:val="49ED1B20"/>
    <w:rsid w:val="4A193C3F"/>
    <w:rsid w:val="4F6C5874"/>
    <w:rsid w:val="4FCE017C"/>
    <w:rsid w:val="5534603B"/>
    <w:rsid w:val="5A68488B"/>
    <w:rsid w:val="5CD57589"/>
    <w:rsid w:val="5D2F22DE"/>
    <w:rsid w:val="5DA878B0"/>
    <w:rsid w:val="602F5097"/>
    <w:rsid w:val="620B71A6"/>
    <w:rsid w:val="644300AB"/>
    <w:rsid w:val="66441555"/>
    <w:rsid w:val="66CE2387"/>
    <w:rsid w:val="68BB4DF1"/>
    <w:rsid w:val="69257314"/>
    <w:rsid w:val="6A6B2981"/>
    <w:rsid w:val="6CB43C0D"/>
    <w:rsid w:val="6EFFF736"/>
    <w:rsid w:val="70AD6ED1"/>
    <w:rsid w:val="71A87F57"/>
    <w:rsid w:val="74FC6A6D"/>
    <w:rsid w:val="77D52026"/>
    <w:rsid w:val="7F126040"/>
    <w:rsid w:val="8E7FB4A9"/>
    <w:rsid w:val="9E5B0BD3"/>
    <w:rsid w:val="9FBDDD05"/>
    <w:rsid w:val="A79B2BAC"/>
    <w:rsid w:val="FF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32"/>
      <w:szCs w:val="24"/>
      <w:lang w:val="en-US" w:eastAsia="zh-CN" w:bidi="ar-SA"/>
      <w14:ligatures w14:val="standardContextual"/>
    </w:rPr>
  </w:style>
  <w:style w:type="paragraph" w:styleId="2">
    <w:name w:val="heading 1"/>
    <w:basedOn w:val="1"/>
    <w:next w:val="1"/>
    <w:link w:val="27"/>
    <w:qFormat/>
    <w:uiPriority w:val="9"/>
    <w:pPr>
      <w:keepNext/>
      <w:keepLines/>
      <w:outlineLvl w:val="0"/>
    </w:pPr>
    <w:rPr>
      <w:rFonts w:eastAsia="黑体" w:asciiTheme="majorHAnsi" w:hAnsiTheme="majorHAnsi" w:cstheme="majorBidi"/>
      <w:szCs w:val="48"/>
    </w:rPr>
  </w:style>
  <w:style w:type="paragraph" w:styleId="3">
    <w:name w:val="heading 2"/>
    <w:basedOn w:val="1"/>
    <w:next w:val="1"/>
    <w:link w:val="28"/>
    <w:unhideWhenUsed/>
    <w:qFormat/>
    <w:uiPriority w:val="9"/>
    <w:pPr>
      <w:keepNext/>
      <w:keepLines/>
      <w:outlineLvl w:val="1"/>
    </w:pPr>
    <w:rPr>
      <w:rFonts w:eastAsia="楷体_GB2312" w:asciiTheme="majorHAnsi" w:hAnsiTheme="majorHAnsi" w:cstheme="majorBidi"/>
      <w:szCs w:val="40"/>
    </w:rPr>
  </w:style>
  <w:style w:type="paragraph" w:styleId="4">
    <w:name w:val="heading 3"/>
    <w:basedOn w:val="1"/>
    <w:next w:val="1"/>
    <w:link w:val="29"/>
    <w:unhideWhenUsed/>
    <w:qFormat/>
    <w:uiPriority w:val="9"/>
    <w:pPr>
      <w:keepNext/>
      <w:keepLines/>
      <w:outlineLvl w:val="2"/>
    </w:pPr>
    <w:rPr>
      <w:rFonts w:asciiTheme="majorHAnsi" w:hAnsiTheme="majorHAnsi" w:cstheme="majorBidi"/>
      <w:b/>
      <w:szCs w:val="32"/>
    </w:rPr>
  </w:style>
  <w:style w:type="paragraph" w:styleId="5">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580" w:lineRule="exact"/>
      <w:ind w:firstLine="420"/>
    </w:pPr>
  </w:style>
  <w:style w:type="paragraph" w:styleId="12">
    <w:name w:val="annotation text"/>
    <w:basedOn w:val="1"/>
    <w:link w:val="48"/>
    <w:unhideWhenUsed/>
    <w:qFormat/>
    <w:uiPriority w:val="99"/>
  </w:style>
  <w:style w:type="paragraph" w:styleId="13">
    <w:name w:val="Body Text Indent"/>
    <w:basedOn w:val="1"/>
    <w:qFormat/>
    <w:uiPriority w:val="0"/>
    <w:pPr>
      <w:ind w:firstLine="547" w:firstLineChars="228"/>
    </w:pPr>
    <w:rPr>
      <w:rFonts w:hint="eastAsia"/>
    </w:rPr>
  </w:style>
  <w:style w:type="paragraph" w:styleId="14">
    <w:name w:val="footer"/>
    <w:basedOn w:val="1"/>
    <w:link w:val="46"/>
    <w:unhideWhenUsed/>
    <w:qFormat/>
    <w:uiPriority w:val="99"/>
    <w:pPr>
      <w:tabs>
        <w:tab w:val="center" w:pos="4153"/>
        <w:tab w:val="right" w:pos="8306"/>
      </w:tabs>
      <w:snapToGrid w:val="0"/>
      <w:spacing w:line="240" w:lineRule="atLeast"/>
    </w:pPr>
    <w:rPr>
      <w:sz w:val="18"/>
      <w:szCs w:val="18"/>
    </w:rPr>
  </w:style>
  <w:style w:type="paragraph" w:styleId="15">
    <w:name w:val="header"/>
    <w:basedOn w:val="1"/>
    <w:link w:val="45"/>
    <w:unhideWhenUsed/>
    <w:qFormat/>
    <w:uiPriority w:val="99"/>
    <w:pPr>
      <w:tabs>
        <w:tab w:val="center" w:pos="4153"/>
        <w:tab w:val="right" w:pos="8306"/>
      </w:tabs>
      <w:snapToGrid w:val="0"/>
      <w:spacing w:line="240" w:lineRule="atLeast"/>
      <w:jc w:val="center"/>
    </w:pPr>
    <w:rPr>
      <w:sz w:val="18"/>
      <w:szCs w:val="18"/>
    </w:rPr>
  </w:style>
  <w:style w:type="paragraph" w:styleId="16">
    <w:name w:val="Subtitle"/>
    <w:basedOn w:val="1"/>
    <w:next w:val="1"/>
    <w:link w:val="3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footnote text"/>
    <w:basedOn w:val="1"/>
    <w:link w:val="49"/>
    <w:semiHidden/>
    <w:unhideWhenUsed/>
    <w:qFormat/>
    <w:uiPriority w:val="99"/>
    <w:pPr>
      <w:adjustRightInd w:val="0"/>
      <w:snapToGrid w:val="0"/>
      <w:jc w:val="left"/>
    </w:pPr>
    <w:rPr>
      <w:sz w:val="18"/>
      <w:szCs w:val="18"/>
    </w:rPr>
  </w:style>
  <w:style w:type="paragraph" w:styleId="18">
    <w:name w:val="Title"/>
    <w:basedOn w:val="1"/>
    <w:next w:val="1"/>
    <w:link w:val="3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annotation subject"/>
    <w:basedOn w:val="12"/>
    <w:next w:val="12"/>
    <w:link w:val="53"/>
    <w:semiHidden/>
    <w:unhideWhenUsed/>
    <w:qFormat/>
    <w:uiPriority w:val="99"/>
    <w:pPr>
      <w:jc w:val="left"/>
    </w:pPr>
    <w:rPr>
      <w:b/>
      <w:bCs/>
    </w:rPr>
  </w:style>
  <w:style w:type="paragraph" w:styleId="20">
    <w:name w:val="Body Text First Indent 2"/>
    <w:basedOn w:val="13"/>
    <w:qFormat/>
    <w:uiPriority w:val="99"/>
    <w:pPr>
      <w:ind w:firstLine="420" w:firstLineChars="200"/>
    </w:pPr>
  </w:style>
  <w:style w:type="character" w:styleId="23">
    <w:name w:val="Strong"/>
    <w:basedOn w:val="22"/>
    <w:qFormat/>
    <w:uiPriority w:val="22"/>
    <w:rPr>
      <w:b/>
    </w:rPr>
  </w:style>
  <w:style w:type="character" w:styleId="24">
    <w:name w:val="Hyperlink"/>
    <w:basedOn w:val="22"/>
    <w:unhideWhenUsed/>
    <w:qFormat/>
    <w:uiPriority w:val="99"/>
    <w:rPr>
      <w:color w:val="467886" w:themeColor="hyperlink"/>
      <w:u w:val="single"/>
      <w14:textFill>
        <w14:solidFill>
          <w14:schemeClr w14:val="hlink"/>
        </w14:solidFill>
      </w14:textFill>
    </w:rPr>
  </w:style>
  <w:style w:type="character" w:styleId="25">
    <w:name w:val="annotation reference"/>
    <w:unhideWhenUsed/>
    <w:qFormat/>
    <w:uiPriority w:val="99"/>
    <w:rPr>
      <w:sz w:val="21"/>
      <w:szCs w:val="21"/>
    </w:rPr>
  </w:style>
  <w:style w:type="character" w:styleId="26">
    <w:name w:val="footnote reference"/>
    <w:basedOn w:val="22"/>
    <w:semiHidden/>
    <w:unhideWhenUsed/>
    <w:qFormat/>
    <w:uiPriority w:val="99"/>
    <w:rPr>
      <w:vertAlign w:val="superscript"/>
    </w:rPr>
  </w:style>
  <w:style w:type="character" w:customStyle="1" w:styleId="27">
    <w:name w:val="标题 1 字符"/>
    <w:basedOn w:val="22"/>
    <w:link w:val="2"/>
    <w:qFormat/>
    <w:uiPriority w:val="9"/>
    <w:rPr>
      <w:rFonts w:eastAsia="黑体" w:asciiTheme="majorHAnsi" w:hAnsiTheme="majorHAnsi" w:cstheme="majorBidi"/>
      <w:sz w:val="32"/>
      <w:szCs w:val="48"/>
    </w:rPr>
  </w:style>
  <w:style w:type="character" w:customStyle="1" w:styleId="28">
    <w:name w:val="标题 2 字符"/>
    <w:basedOn w:val="22"/>
    <w:link w:val="3"/>
    <w:qFormat/>
    <w:uiPriority w:val="9"/>
    <w:rPr>
      <w:rFonts w:eastAsia="楷体_GB2312" w:asciiTheme="majorHAnsi" w:hAnsiTheme="majorHAnsi" w:cstheme="majorBidi"/>
      <w:sz w:val="32"/>
      <w:szCs w:val="40"/>
    </w:rPr>
  </w:style>
  <w:style w:type="character" w:customStyle="1" w:styleId="29">
    <w:name w:val="标题 3 字符"/>
    <w:basedOn w:val="22"/>
    <w:link w:val="4"/>
    <w:qFormat/>
    <w:uiPriority w:val="9"/>
    <w:rPr>
      <w:rFonts w:eastAsia="仿宋_GB2312" w:asciiTheme="majorHAnsi" w:hAnsiTheme="majorHAnsi" w:cstheme="majorBidi"/>
      <w:b/>
      <w:sz w:val="32"/>
      <w:szCs w:val="32"/>
    </w:rPr>
  </w:style>
  <w:style w:type="character" w:customStyle="1" w:styleId="30">
    <w:name w:val="标题 4 字符"/>
    <w:basedOn w:val="22"/>
    <w:link w:val="5"/>
    <w:semiHidden/>
    <w:qFormat/>
    <w:uiPriority w:val="9"/>
    <w:rPr>
      <w:rFonts w:cstheme="majorBidi"/>
      <w:color w:val="104862" w:themeColor="accent1" w:themeShade="BF"/>
      <w:sz w:val="28"/>
      <w:szCs w:val="28"/>
    </w:rPr>
  </w:style>
  <w:style w:type="character" w:customStyle="1" w:styleId="31">
    <w:name w:val="标题 5 字符"/>
    <w:basedOn w:val="22"/>
    <w:link w:val="6"/>
    <w:semiHidden/>
    <w:qFormat/>
    <w:uiPriority w:val="9"/>
    <w:rPr>
      <w:rFonts w:cstheme="majorBidi"/>
      <w:color w:val="104862" w:themeColor="accent1" w:themeShade="BF"/>
      <w:sz w:val="24"/>
    </w:rPr>
  </w:style>
  <w:style w:type="character" w:customStyle="1" w:styleId="32">
    <w:name w:val="标题 6 字符"/>
    <w:basedOn w:val="22"/>
    <w:link w:val="7"/>
    <w:semiHidden/>
    <w:qFormat/>
    <w:uiPriority w:val="9"/>
    <w:rPr>
      <w:rFonts w:cstheme="majorBidi"/>
      <w:b/>
      <w:bCs/>
      <w:color w:val="104862" w:themeColor="accent1" w:themeShade="BF"/>
    </w:rPr>
  </w:style>
  <w:style w:type="character" w:customStyle="1" w:styleId="33">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2"/>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明显强调1"/>
    <w:basedOn w:val="22"/>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2"/>
    <w:link w:val="42"/>
    <w:qFormat/>
    <w:uiPriority w:val="30"/>
    <w:rPr>
      <w:i/>
      <w:iCs/>
      <w:color w:val="104862" w:themeColor="accent1" w:themeShade="BF"/>
    </w:rPr>
  </w:style>
  <w:style w:type="character" w:customStyle="1" w:styleId="44">
    <w:name w:val="明显参考1"/>
    <w:basedOn w:val="22"/>
    <w:qFormat/>
    <w:uiPriority w:val="32"/>
    <w:rPr>
      <w:b/>
      <w:bCs/>
      <w:smallCaps/>
      <w:color w:val="104862" w:themeColor="accent1" w:themeShade="BF"/>
      <w:spacing w:val="5"/>
    </w:rPr>
  </w:style>
  <w:style w:type="character" w:customStyle="1" w:styleId="45">
    <w:name w:val="页眉 字符"/>
    <w:basedOn w:val="22"/>
    <w:link w:val="15"/>
    <w:qFormat/>
    <w:uiPriority w:val="99"/>
    <w:rPr>
      <w:rFonts w:eastAsia="仿宋"/>
      <w:sz w:val="18"/>
      <w:szCs w:val="18"/>
    </w:rPr>
  </w:style>
  <w:style w:type="character" w:customStyle="1" w:styleId="46">
    <w:name w:val="页脚 字符"/>
    <w:basedOn w:val="22"/>
    <w:link w:val="14"/>
    <w:qFormat/>
    <w:uiPriority w:val="99"/>
    <w:rPr>
      <w:rFonts w:eastAsia="仿宋"/>
      <w:sz w:val="18"/>
      <w:szCs w:val="18"/>
    </w:rPr>
  </w:style>
  <w:style w:type="character" w:customStyle="1" w:styleId="47">
    <w:name w:val="未处理的提及1"/>
    <w:basedOn w:val="22"/>
    <w:semiHidden/>
    <w:unhideWhenUsed/>
    <w:qFormat/>
    <w:uiPriority w:val="99"/>
    <w:rPr>
      <w:color w:val="605E5C"/>
      <w:shd w:val="clear" w:color="auto" w:fill="E1DFDD"/>
    </w:rPr>
  </w:style>
  <w:style w:type="character" w:customStyle="1" w:styleId="48">
    <w:name w:val="批注文字 字符"/>
    <w:basedOn w:val="22"/>
    <w:link w:val="12"/>
    <w:qFormat/>
    <w:uiPriority w:val="99"/>
    <w:rPr>
      <w:rFonts w:eastAsia="仿宋"/>
      <w:sz w:val="32"/>
    </w:rPr>
  </w:style>
  <w:style w:type="character" w:customStyle="1" w:styleId="49">
    <w:name w:val="脚注文本 字符"/>
    <w:basedOn w:val="22"/>
    <w:link w:val="17"/>
    <w:semiHidden/>
    <w:qFormat/>
    <w:uiPriority w:val="99"/>
    <w:rPr>
      <w:rFonts w:ascii="仿宋_GB2312" w:eastAsia="仿宋_GB2312"/>
      <w:sz w:val="18"/>
      <w:szCs w:val="18"/>
    </w:rPr>
  </w:style>
  <w:style w:type="paragraph" w:customStyle="1" w:styleId="50">
    <w:name w:val="修订1"/>
    <w:hidden/>
    <w:semiHidden/>
    <w:qFormat/>
    <w:uiPriority w:val="99"/>
    <w:rPr>
      <w:rFonts w:ascii="仿宋_GB2312" w:hAnsi="仿宋_GB2312" w:eastAsia="仿宋_GB2312" w:cstheme="minorBidi"/>
      <w:kern w:val="2"/>
      <w:sz w:val="32"/>
      <w:szCs w:val="24"/>
      <w:lang w:val="en-US" w:eastAsia="zh-CN" w:bidi="ar-SA"/>
      <w14:ligatures w14:val="standardContextual"/>
    </w:rPr>
  </w:style>
  <w:style w:type="paragraph" w:customStyle="1" w:styleId="51">
    <w:name w:val="表格标题"/>
    <w:basedOn w:val="1"/>
    <w:next w:val="1"/>
    <w:qFormat/>
    <w:uiPriority w:val="4"/>
    <w:pPr>
      <w:numPr>
        <w:ilvl w:val="0"/>
        <w:numId w:val="1"/>
      </w:numPr>
      <w:ind w:left="400" w:firstLine="0" w:firstLineChars="0"/>
      <w:jc w:val="center"/>
      <w:outlineLvl w:val="3"/>
    </w:pPr>
    <w:rPr>
      <w:rFonts w:cs="Times New Roman" w:hAnsiTheme="majorEastAsia"/>
      <w:b/>
      <w:sz w:val="28"/>
      <w:szCs w:val="44"/>
    </w:rPr>
  </w:style>
  <w:style w:type="paragraph" w:customStyle="1" w:styleId="52">
    <w:name w:val="修订2"/>
    <w:hidden/>
    <w:unhideWhenUsed/>
    <w:qFormat/>
    <w:uiPriority w:val="99"/>
    <w:rPr>
      <w:rFonts w:ascii="仿宋_GB2312" w:hAnsi="仿宋_GB2312" w:eastAsia="仿宋_GB2312" w:cstheme="minorBidi"/>
      <w:kern w:val="2"/>
      <w:sz w:val="32"/>
      <w:szCs w:val="24"/>
      <w:lang w:val="en-US" w:eastAsia="zh-CN" w:bidi="ar-SA"/>
      <w14:ligatures w14:val="standardContextual"/>
    </w:rPr>
  </w:style>
  <w:style w:type="character" w:customStyle="1" w:styleId="53">
    <w:name w:val="批注主题 字符"/>
    <w:basedOn w:val="48"/>
    <w:link w:val="19"/>
    <w:semiHidden/>
    <w:qFormat/>
    <w:uiPriority w:val="99"/>
    <w:rPr>
      <w:rFonts w:ascii="仿宋_GB2312" w:hAnsi="仿宋_GB2312" w:eastAsia="仿宋_GB2312" w:cstheme="minorBidi"/>
      <w:b/>
      <w:bCs/>
      <w:kern w:val="2"/>
      <w:sz w:val="32"/>
      <w:szCs w:val="24"/>
      <w14:ligatures w14:val="standardContextual"/>
    </w:rPr>
  </w:style>
  <w:style w:type="paragraph" w:customStyle="1" w:styleId="54">
    <w:name w:val="修订3"/>
    <w:hidden/>
    <w:unhideWhenUsed/>
    <w:qFormat/>
    <w:uiPriority w:val="99"/>
    <w:rPr>
      <w:rFonts w:ascii="仿宋_GB2312" w:hAnsi="仿宋_GB2312" w:eastAsia="仿宋_GB2312" w:cstheme="minorBidi"/>
      <w:kern w:val="2"/>
      <w:sz w:val="3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1952</Words>
  <Characters>2048</Characters>
  <Lines>50</Lines>
  <Paragraphs>42</Paragraphs>
  <TotalTime>17</TotalTime>
  <ScaleCrop>false</ScaleCrop>
  <LinksUpToDate>false</LinksUpToDate>
  <CharactersWithSpaces>2049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2025-08-08T02:17:00Z</dcterms:created>
  <dc:creator>qian luo</dc:creator>
  <cp:lastModifiedBy>彭涛</cp:lastModifiedBy>
  <cp:lastPrinted>2025-08-13T01:32:00Z</cp:lastPrinted>
  <dcterms:modified xsi:type="dcterms:W3CDTF">2025-08-14T15:03:35Z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eyJoZGlkIjoiMGFjZmQ4YzZmZWUxZTY2ZGVmMGI5NzY4NjgyZTQ2NjMiLCJ1c2VySWQiOiIxNjc5OTE2NzQ5In0=</vt:lpwstr>
  </property>
  <property fmtid="{D5CDD505-2E9C-101B-9397-08002B2CF9AE}" pid="3" name="KSOProductBuildVer">
    <vt:lpwstr>2052-11.8.2.11763</vt:lpwstr>
  </property>
  <property fmtid="{D5CDD505-2E9C-101B-9397-08002B2CF9AE}" pid="4" name="ICV">
    <vt:lpwstr>B61AFC8B755E4C19BC86DCDFB6C19295_13</vt:lpwstr>
  </property>
</Properties>
</file>